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D6276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关于“越南永新燃煤电厂一期项目2026-2028年保险经纪服务采购”项目招标文件</w:t>
      </w:r>
      <w:r>
        <w:rPr>
          <w:rFonts w:hint="eastAsia" w:ascii="Times New Roman" w:hAnsi="Times New Roman" w:eastAsia="宋体" w:cs="Times New Roman"/>
          <w:b/>
          <w:bCs/>
          <w:sz w:val="28"/>
          <w:szCs w:val="28"/>
          <w:lang w:val="en-US" w:eastAsia="zh-CN"/>
        </w:rPr>
        <w:t>（项目编号CG1100022002124526）</w:t>
      </w:r>
      <w:r>
        <w:rPr>
          <w:rFonts w:hint="default" w:ascii="Times New Roman" w:hAnsi="Times New Roman" w:eastAsia="宋体" w:cs="Times New Roman"/>
          <w:b/>
          <w:bCs/>
          <w:sz w:val="28"/>
          <w:szCs w:val="28"/>
          <w:lang w:val="en-US" w:eastAsia="zh-CN"/>
        </w:rPr>
        <w:t>的澄清</w:t>
      </w:r>
      <w:r>
        <w:rPr>
          <w:rFonts w:hint="eastAsia" w:ascii="Times New Roman" w:hAnsi="Times New Roman" w:eastAsia="宋体" w:cs="Times New Roman"/>
          <w:b/>
          <w:bCs/>
          <w:sz w:val="28"/>
          <w:szCs w:val="28"/>
          <w:lang w:val="en-US" w:eastAsia="zh-CN"/>
        </w:rPr>
        <w:t>回复</w:t>
      </w:r>
    </w:p>
    <w:p w14:paraId="3BE3520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sz w:val="28"/>
          <w:szCs w:val="28"/>
          <w:lang w:eastAsia="zh-CN"/>
        </w:rPr>
      </w:pPr>
    </w:p>
    <w:p w14:paraId="01F8A5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招标人回复意见如下：</w:t>
      </w:r>
    </w:p>
    <w:p w14:paraId="57ABB6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p>
    <w:p w14:paraId="1892A02A">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关于招标公告第3节投标人资格要求</w:t>
      </w:r>
    </w:p>
    <w:p w14:paraId="29E3FC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通用资格要求第2条，要求为“中华人民共和国境内外合法运作的企业法人或具有企业法人授权的其他组织，具有独立承担民事责任的能力、独立承担招标项目的能力和独立履行合同的能力”，专用资格要求第4条，要求为“按照中华人民共和国或香港特别行政区有关法律设立，具有独立法人资格的公司”。</w:t>
      </w:r>
    </w:p>
    <w:p w14:paraId="27D953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投标人如果按照中华人民共和国法律设立，具有独立法人资格，拥有中国银行保险监督管理委员会批准的有效《保险中介许可证》。而且在越南有固定的保险经纪合作伙伴，有能力为永新电厂完成招标文件中要求的越南本地服务。</w:t>
      </w:r>
    </w:p>
    <w:p w14:paraId="3265415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请问该投标人是否具有参与投标本项目的资格？</w:t>
      </w:r>
    </w:p>
    <w:p w14:paraId="12EAE3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default"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回复：满足通用资格和专用资格所有条款要求的投标人均可参与本项目投标，具体可查阅招标文件的资格条件和技术条款等资料。</w:t>
      </w:r>
    </w:p>
    <w:p w14:paraId="09BC6AF5">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关于评标办法（综合评估法）</w:t>
      </w:r>
    </w:p>
    <w:p w14:paraId="154BDFF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56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项目服务经验。评标办法前附表（2）详细评审标准中条款号1（2）技术评分标准中，关于项目服务经验，近10年服务中资海外燃煤类电厂企业/项目经验（保额</w:t>
      </w:r>
      <w:r>
        <w:rPr>
          <w:rFonts w:hint="default" w:ascii="宋体" w:hAnsi="宋体" w:eastAsia="宋体" w:cs="宋体"/>
          <w:sz w:val="28"/>
          <w:szCs w:val="28"/>
          <w:lang w:val="en-GB" w:eastAsia="zh-CN"/>
        </w:rPr>
        <w:t>&gt;</w:t>
      </w:r>
      <w:r>
        <w:rPr>
          <w:rFonts w:hint="eastAsia" w:ascii="宋体" w:hAnsi="宋体" w:eastAsia="宋体" w:cs="宋体"/>
          <w:sz w:val="28"/>
          <w:szCs w:val="28"/>
          <w:lang w:val="en-US" w:eastAsia="zh-CN"/>
        </w:rPr>
        <w:t>10亿美元），如果为同一个电厂项目服务多年，提供不同年度服务的保单证明（每年保单上的金额、期限、条件都不同），得分是否累计。</w:t>
      </w:r>
    </w:p>
    <w:p w14:paraId="50BA47F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textAlignment w:val="auto"/>
        <w:rPr>
          <w:rFonts w:hint="default"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回复：技术评分标准“项目服务经验”中，满足经验要求的同一项目单份保单保额大于10亿美元可得1分。</w:t>
      </w:r>
    </w:p>
    <w:p w14:paraId="5B985DFC">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560" w:firstLineChars="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项目基本资料。评标办法前附表（2）详细评审标准中条款号1（2）技术评分标准中，要求阐述风险与保险管理策略和运营期保险采购，为了便于投保人协助永新电厂客观全面分项项目风险，提出有价值的投保建议和采购策略，是否可以提供永新电厂的基本信息，包括项目投保险种要求和项目的基本信息。</w:t>
      </w:r>
    </w:p>
    <w:p w14:paraId="545B9CC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60" w:leftChars="0"/>
        <w:textAlignment w:val="auto"/>
        <w:rPr>
          <w:rFonts w:hint="eastAsia"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回复：对本项目技术规范书补充说明如下所示：</w:t>
      </w:r>
    </w:p>
    <w:p w14:paraId="26073AA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60" w:leftChars="0"/>
        <w:textAlignment w:val="auto"/>
        <w:rPr>
          <w:rFonts w:hint="eastAsia" w:ascii="宋体" w:hAnsi="宋体" w:eastAsia="宋体" w:cs="宋体"/>
          <w:b w:val="0"/>
          <w:bCs w:val="0"/>
          <w:color w:val="0070C0"/>
          <w:sz w:val="28"/>
          <w:szCs w:val="28"/>
          <w:lang w:val="en-US" w:eastAsia="zh-CN"/>
        </w:rPr>
      </w:pPr>
      <w:r>
        <w:rPr>
          <w:rFonts w:hint="eastAsia" w:ascii="宋体" w:hAnsi="宋体" w:eastAsia="宋体" w:cs="宋体"/>
          <w:b w:val="0"/>
          <w:bCs w:val="0"/>
          <w:color w:val="0070C0"/>
          <w:kern w:val="2"/>
          <w:sz w:val="28"/>
          <w:szCs w:val="28"/>
          <w:lang w:val="en-US" w:eastAsia="zh-CN" w:bidi="ar-SA"/>
        </w:rPr>
        <w:t>1.</w:t>
      </w:r>
      <w:r>
        <w:rPr>
          <w:rFonts w:hint="eastAsia" w:ascii="宋体" w:hAnsi="宋体" w:eastAsia="宋体" w:cs="宋体"/>
          <w:b w:val="0"/>
          <w:bCs w:val="0"/>
          <w:color w:val="0070C0"/>
          <w:sz w:val="28"/>
          <w:szCs w:val="28"/>
          <w:lang w:val="en-US" w:eastAsia="zh-CN"/>
        </w:rPr>
        <w:t>永新电厂项目介绍：</w:t>
      </w:r>
    </w:p>
    <w:p w14:paraId="02166A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default" w:ascii="宋体" w:hAnsi="宋体" w:eastAsia="宋体" w:cs="宋体"/>
          <w:b w:val="0"/>
          <w:bCs w:val="0"/>
          <w:color w:val="0070C0"/>
          <w:sz w:val="28"/>
          <w:szCs w:val="28"/>
          <w:lang w:val="en-US" w:eastAsia="zh-CN"/>
        </w:rPr>
      </w:pPr>
      <w:r>
        <w:rPr>
          <w:rFonts w:hint="default" w:ascii="宋体" w:hAnsi="宋体" w:eastAsia="宋体" w:cs="宋体"/>
          <w:b w:val="0"/>
          <w:bCs w:val="0"/>
          <w:color w:val="0070C0"/>
          <w:sz w:val="28"/>
          <w:szCs w:val="28"/>
        </w:rPr>
        <w:t>越南永新公司成立于2013年，注册资本3.51亿美元，由中国南方电网有限责任公司、中国电力国际有限公司和越南煤炭电力总公司按照55%:40%:5%的股权比例共同投资组建，负责越南永新燃煤电厂一期BOT（建设-运营-移交）项目的具体实施，经营范围为火力发电项目的开发、投资、建设、运营与管理</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lang w:val="en-US" w:eastAsia="zh-CN"/>
        </w:rPr>
        <w:t>现有职工人数约65人。</w:t>
      </w:r>
    </w:p>
    <w:p w14:paraId="2F78BD9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0070C0"/>
          <w:sz w:val="28"/>
          <w:szCs w:val="28"/>
        </w:rPr>
      </w:pPr>
      <w:r>
        <w:rPr>
          <w:rFonts w:hint="default" w:ascii="宋体" w:hAnsi="宋体" w:eastAsia="宋体" w:cs="宋体"/>
          <w:b w:val="0"/>
          <w:bCs w:val="0"/>
          <w:color w:val="0070C0"/>
          <w:sz w:val="28"/>
          <w:szCs w:val="28"/>
        </w:rPr>
        <w:t>越南永新燃煤电厂一期BOT项目</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lang w:val="en-US" w:eastAsia="zh-CN"/>
        </w:rPr>
        <w:t>以下简称“项目”</w:t>
      </w:r>
      <w:r>
        <w:rPr>
          <w:rFonts w:hint="eastAsia" w:ascii="宋体" w:hAnsi="宋体" w:eastAsia="宋体" w:cs="宋体"/>
          <w:b w:val="0"/>
          <w:bCs w:val="0"/>
          <w:color w:val="0070C0"/>
          <w:sz w:val="28"/>
          <w:szCs w:val="28"/>
          <w:lang w:eastAsia="zh-CN"/>
        </w:rPr>
        <w:t>）</w:t>
      </w:r>
      <w:r>
        <w:rPr>
          <w:rFonts w:hint="default" w:ascii="宋体" w:hAnsi="宋体" w:eastAsia="宋体" w:cs="宋体"/>
          <w:b w:val="0"/>
          <w:bCs w:val="0"/>
          <w:color w:val="0070C0"/>
          <w:sz w:val="28"/>
          <w:szCs w:val="28"/>
        </w:rPr>
        <w:t>是中越两国经贸合作的重点项目，也是贯彻落实国家“一带一路”倡议和促进大湄河次区域电力开发合作的重要项目。项目安装2台62万千瓦中国产超临界W型火焰锅炉发电机组，燃用越南本地无烟煤</w:t>
      </w:r>
      <w:r>
        <w:rPr>
          <w:rFonts w:hint="eastAsia" w:ascii="宋体" w:hAnsi="宋体" w:eastAsia="宋体" w:cs="宋体"/>
          <w:b w:val="0"/>
          <w:bCs w:val="0"/>
          <w:color w:val="0070C0"/>
          <w:sz w:val="28"/>
          <w:szCs w:val="28"/>
          <w:lang w:eastAsia="zh-CN"/>
        </w:rPr>
        <w:t>，</w:t>
      </w:r>
      <w:r>
        <w:rPr>
          <w:rFonts w:hint="default" w:ascii="宋体" w:hAnsi="宋体" w:eastAsia="宋体" w:cs="宋体"/>
          <w:b w:val="0"/>
          <w:bCs w:val="0"/>
          <w:color w:val="0070C0"/>
          <w:sz w:val="28"/>
          <w:szCs w:val="28"/>
        </w:rPr>
        <w:t>总装机容量为124万千瓦</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rPr>
        <w:t>项目于2015年6月16日开工建设，#1机组于2018年7月6日投入商业运行，#2机组于2018年11月27日投入商业运行，</w:t>
      </w:r>
      <w:r>
        <w:rPr>
          <w:rFonts w:hint="default" w:ascii="宋体" w:hAnsi="宋体" w:eastAsia="宋体" w:cs="宋体"/>
          <w:b w:val="0"/>
          <w:bCs w:val="0"/>
          <w:color w:val="0070C0"/>
          <w:sz w:val="28"/>
          <w:szCs w:val="28"/>
          <w:lang w:val="en-US" w:eastAsia="zh-CN"/>
        </w:rPr>
        <w:t>年发电量约为80亿千瓦时</w:t>
      </w:r>
      <w:r>
        <w:rPr>
          <w:rFonts w:hint="eastAsia" w:ascii="宋体" w:hAnsi="宋体" w:eastAsia="宋体" w:cs="宋体"/>
          <w:b w:val="0"/>
          <w:bCs w:val="0"/>
          <w:color w:val="0070C0"/>
          <w:sz w:val="28"/>
          <w:szCs w:val="28"/>
          <w:lang w:val="en-US" w:eastAsia="zh-CN"/>
        </w:rPr>
        <w:t>，</w:t>
      </w:r>
      <w:r>
        <w:rPr>
          <w:rFonts w:hint="eastAsia" w:ascii="宋体" w:hAnsi="宋体" w:eastAsia="宋体" w:cs="宋体"/>
          <w:b w:val="0"/>
          <w:bCs w:val="0"/>
          <w:color w:val="0070C0"/>
          <w:sz w:val="28"/>
          <w:szCs w:val="28"/>
        </w:rPr>
        <w:t>在保证安全、质量的前提下，高标准实现了建设“先进、可靠、绿色”示范性电厂的目标，2021年获得越南建设部颁发的“越南国家优质工程奖”，2022年获得“中国电力优质工程奖”，入选了“2022年中国建设工程鲁班奖（境外工程）”名单。</w:t>
      </w:r>
      <w:r>
        <w:rPr>
          <w:rFonts w:hint="eastAsia" w:ascii="宋体" w:hAnsi="宋体" w:eastAsia="宋体" w:cs="宋体"/>
          <w:b w:val="0"/>
          <w:bCs w:val="0"/>
          <w:color w:val="0070C0"/>
          <w:sz w:val="28"/>
          <w:szCs w:val="28"/>
          <w:lang w:val="en-US" w:eastAsia="zh-CN"/>
        </w:rPr>
        <w:t>项目</w:t>
      </w:r>
      <w:r>
        <w:rPr>
          <w:rFonts w:hint="default" w:ascii="宋体" w:hAnsi="宋体" w:eastAsia="宋体" w:cs="宋体"/>
          <w:b w:val="0"/>
          <w:bCs w:val="0"/>
          <w:color w:val="0070C0"/>
          <w:sz w:val="28"/>
          <w:szCs w:val="28"/>
        </w:rPr>
        <w:t>是中国企业在越南首个采用BOT模式投资的电力项目，在特许经营期25年满后，将无偿移交给越南政府。</w:t>
      </w:r>
    </w:p>
    <w:p w14:paraId="531FD39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eastAsia" w:ascii="宋体" w:hAnsi="宋体" w:eastAsia="宋体" w:cs="宋体"/>
          <w:b w:val="0"/>
          <w:bCs w:val="0"/>
          <w:color w:val="0070C0"/>
          <w:sz w:val="28"/>
          <w:szCs w:val="28"/>
        </w:rPr>
      </w:pPr>
      <w:r>
        <w:rPr>
          <w:rFonts w:hint="eastAsia" w:ascii="宋体" w:hAnsi="宋体" w:eastAsia="宋体" w:cs="宋体"/>
          <w:b w:val="0"/>
          <w:bCs w:val="0"/>
          <w:color w:val="0070C0"/>
          <w:sz w:val="28"/>
          <w:szCs w:val="28"/>
          <w:lang w:val="en-US" w:eastAsia="zh-CN"/>
        </w:rPr>
        <w:t>按照项目投资方开发协议，</w:t>
      </w:r>
      <w:r>
        <w:rPr>
          <w:rFonts w:hint="eastAsia" w:ascii="宋体" w:hAnsi="宋体" w:eastAsia="宋体" w:cs="宋体"/>
          <w:b w:val="0"/>
          <w:bCs w:val="0"/>
          <w:color w:val="0070C0"/>
          <w:sz w:val="28"/>
          <w:szCs w:val="28"/>
        </w:rPr>
        <w:t>项目运行维护工作由中国电力国际有限公司或其有能力的子公司牵头组织</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rPr>
        <w:t>越南煤炭电力总公司</w:t>
      </w:r>
      <w:r>
        <w:rPr>
          <w:rFonts w:hint="eastAsia" w:ascii="宋体" w:hAnsi="宋体" w:eastAsia="宋体" w:cs="宋体"/>
          <w:b w:val="0"/>
          <w:bCs w:val="0"/>
          <w:color w:val="0070C0"/>
          <w:sz w:val="28"/>
          <w:szCs w:val="28"/>
          <w:lang w:val="en-US" w:eastAsia="zh-CN"/>
        </w:rPr>
        <w:t>负责煤炭供应，直至</w:t>
      </w:r>
      <w:r>
        <w:rPr>
          <w:rFonts w:hint="default" w:ascii="宋体" w:hAnsi="宋体" w:eastAsia="宋体" w:cs="宋体"/>
          <w:b w:val="0"/>
          <w:bCs w:val="0"/>
          <w:color w:val="0070C0"/>
          <w:sz w:val="28"/>
          <w:szCs w:val="28"/>
        </w:rPr>
        <w:t>特许经营期满</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lang w:val="en-US" w:eastAsia="zh-CN"/>
        </w:rPr>
        <w:t>目前，电厂由</w:t>
      </w:r>
      <w:r>
        <w:rPr>
          <w:rFonts w:hint="eastAsia" w:ascii="宋体" w:hAnsi="宋体" w:eastAsia="宋体" w:cs="宋体"/>
          <w:b w:val="0"/>
          <w:bCs w:val="0"/>
          <w:color w:val="0070C0"/>
          <w:sz w:val="28"/>
          <w:szCs w:val="28"/>
        </w:rPr>
        <w:t>中电电力检修工程有限公司和中电永新运营有限公司组成的联合体作为运维承包商</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rPr>
        <w:t>负责项目两台机组的运维工作</w:t>
      </w:r>
      <w:r>
        <w:rPr>
          <w:rFonts w:hint="eastAsia" w:ascii="宋体" w:hAnsi="宋体" w:eastAsia="宋体" w:cs="宋体"/>
          <w:b w:val="0"/>
          <w:bCs w:val="0"/>
          <w:color w:val="0070C0"/>
          <w:sz w:val="28"/>
          <w:szCs w:val="28"/>
          <w:lang w:eastAsia="zh-CN"/>
        </w:rPr>
        <w:t>，</w:t>
      </w:r>
      <w:r>
        <w:rPr>
          <w:rFonts w:hint="eastAsia" w:ascii="宋体" w:hAnsi="宋体" w:eastAsia="宋体" w:cs="宋体"/>
          <w:b w:val="0"/>
          <w:bCs w:val="0"/>
          <w:color w:val="0070C0"/>
          <w:sz w:val="28"/>
          <w:szCs w:val="28"/>
          <w:lang w:val="en-US" w:eastAsia="zh-CN"/>
        </w:rPr>
        <w:t>员工（含辅助）人数约770人</w:t>
      </w:r>
      <w:r>
        <w:rPr>
          <w:rFonts w:hint="eastAsia" w:ascii="宋体" w:hAnsi="宋体" w:eastAsia="宋体" w:cs="宋体"/>
          <w:b w:val="0"/>
          <w:bCs w:val="0"/>
          <w:color w:val="0070C0"/>
          <w:sz w:val="28"/>
          <w:szCs w:val="28"/>
        </w:rPr>
        <w:t>。</w:t>
      </w:r>
    </w:p>
    <w:p w14:paraId="7331B3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default" w:ascii="宋体" w:hAnsi="宋体" w:eastAsia="宋体" w:cs="宋体"/>
          <w:b w:val="0"/>
          <w:bCs w:val="0"/>
          <w:color w:val="0070C0"/>
          <w:sz w:val="28"/>
          <w:szCs w:val="28"/>
          <w:lang w:val="en-US" w:eastAsia="zh-CN"/>
        </w:rPr>
      </w:pPr>
      <w:r>
        <w:rPr>
          <w:rFonts w:hint="default" w:ascii="宋体" w:hAnsi="宋体" w:eastAsia="宋体" w:cs="宋体"/>
          <w:b w:val="0"/>
          <w:bCs w:val="0"/>
          <w:color w:val="0070C0"/>
          <w:sz w:val="28"/>
          <w:szCs w:val="28"/>
          <w:lang w:val="en-US" w:eastAsia="zh-CN"/>
        </w:rPr>
        <w:t>项目位于越南</w:t>
      </w:r>
      <w:r>
        <w:rPr>
          <w:rFonts w:hint="eastAsia" w:ascii="宋体" w:hAnsi="宋体" w:eastAsia="宋体" w:cs="宋体"/>
          <w:b w:val="0"/>
          <w:bCs w:val="0"/>
          <w:color w:val="0070C0"/>
          <w:sz w:val="28"/>
          <w:szCs w:val="28"/>
          <w:lang w:val="en-US" w:eastAsia="zh-CN"/>
        </w:rPr>
        <w:t>林同</w:t>
      </w:r>
      <w:r>
        <w:rPr>
          <w:rFonts w:hint="default" w:ascii="宋体" w:hAnsi="宋体" w:eastAsia="宋体" w:cs="宋体"/>
          <w:b w:val="0"/>
          <w:bCs w:val="0"/>
          <w:color w:val="0070C0"/>
          <w:sz w:val="28"/>
          <w:szCs w:val="28"/>
          <w:lang w:val="en-US" w:eastAsia="zh-CN"/>
        </w:rPr>
        <w:t>省永新乡，南面临海，北面靠山，东面临近宁顺省，西面紧靠永好镇。电厂距离平顺省府潘切市约90km，距离胡志明市约250km。越南国家1A公路在厂区北面通过，进厂道路和灰场道路与1A公路相接。</w:t>
      </w:r>
      <w:r>
        <w:rPr>
          <w:rFonts w:hint="default" w:ascii="宋体" w:hAnsi="宋体" w:eastAsia="宋体" w:cs="宋体"/>
          <w:b w:val="0"/>
          <w:bCs w:val="0"/>
          <w:color w:val="0070C0"/>
          <w:sz w:val="28"/>
          <w:szCs w:val="28"/>
        </w:rPr>
        <w:t>厂区位置面向南海，具有典型的平原区域性质。厂区南北向约500m是在陆域，自然标高0~17.5m，约700m在海域，自然标高约0~-6.0m。</w:t>
      </w:r>
    </w:p>
    <w:p w14:paraId="7635B07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textAlignment w:val="auto"/>
        <w:rPr>
          <w:rFonts w:hint="default"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项目</w:t>
      </w:r>
      <w:r>
        <w:rPr>
          <w:rFonts w:hint="default" w:ascii="宋体" w:hAnsi="宋体" w:eastAsia="宋体" w:cs="宋体"/>
          <w:b w:val="0"/>
          <w:bCs w:val="0"/>
          <w:color w:val="0070C0"/>
          <w:sz w:val="28"/>
          <w:szCs w:val="28"/>
          <w:lang w:val="en-US" w:eastAsia="zh-CN"/>
        </w:rPr>
        <w:t>三大主机由中国东方电气集团供货，设计为基本负荷运行，并具有调峰能力</w:t>
      </w:r>
      <w:r>
        <w:rPr>
          <w:rFonts w:hint="eastAsia" w:ascii="宋体" w:hAnsi="宋体" w:eastAsia="宋体" w:cs="宋体"/>
          <w:b w:val="0"/>
          <w:bCs w:val="0"/>
          <w:color w:val="0070C0"/>
          <w:sz w:val="28"/>
          <w:szCs w:val="28"/>
          <w:lang w:val="en-US" w:eastAsia="zh-CN"/>
        </w:rPr>
        <w:t>。</w:t>
      </w:r>
      <w:r>
        <w:rPr>
          <w:rFonts w:hint="default" w:ascii="宋体" w:hAnsi="宋体" w:eastAsia="宋体" w:cs="宋体"/>
          <w:b w:val="0"/>
          <w:bCs w:val="0"/>
          <w:color w:val="0070C0"/>
          <w:sz w:val="28"/>
          <w:szCs w:val="28"/>
          <w:lang w:val="en-US" w:eastAsia="zh-CN"/>
        </w:rPr>
        <w:t>项目同步建设海水脱硫、脱硝和电除尘装置。电厂循环冷却水系统为海水直流冷却系统，港池内取水。燃料采用海运来煤方式，工程配套建设一个30000DWT卸煤码头，装设2台卸船机，煤场设3个的煤堆，装设2台斗轮堆取料机，上卸煤由斗轮堆取料机进行。锅炉点火采用轻柴油。电厂淡水水源来自海水淡化系统。项目以500kV电压接入系统，出线3回至永新500kV变电站，距离约为300m。</w:t>
      </w:r>
    </w:p>
    <w:p w14:paraId="0486E4A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 xml:space="preserve">    2.投保险种要</w:t>
      </w:r>
      <w:bookmarkStart w:id="1" w:name="_GoBack"/>
      <w:bookmarkEnd w:id="1"/>
      <w:r>
        <w:rPr>
          <w:rFonts w:hint="eastAsia" w:ascii="宋体" w:hAnsi="宋体" w:eastAsia="宋体" w:cs="宋体"/>
          <w:b w:val="0"/>
          <w:bCs w:val="0"/>
          <w:color w:val="0070C0"/>
          <w:sz w:val="28"/>
          <w:szCs w:val="28"/>
          <w:lang w:val="en-US" w:eastAsia="zh-CN"/>
        </w:rPr>
        <w:t>求：</w:t>
      </w:r>
    </w:p>
    <w:p w14:paraId="02E0F9D0">
      <w:pPr>
        <w:spacing w:line="520" w:lineRule="exact"/>
        <w:ind w:left="-567" w:leftChars="-270"/>
        <w:jc w:val="both"/>
        <w:rPr>
          <w:rFonts w:hint="eastAsia" w:eastAsia="仿宋_GB2312"/>
          <w:b w:val="0"/>
          <w:bCs/>
          <w:color w:val="0070C0"/>
          <w:sz w:val="28"/>
          <w:szCs w:val="28"/>
        </w:rPr>
      </w:pPr>
      <w:r>
        <w:rPr>
          <w:rFonts w:hint="eastAsia" w:eastAsia="仿宋_GB2312"/>
          <w:b w:val="0"/>
          <w:bCs/>
          <w:color w:val="0070C0"/>
          <w:sz w:val="28"/>
          <w:szCs w:val="28"/>
          <w:lang w:eastAsia="zh-CN"/>
        </w:rPr>
        <w:t>（</w:t>
      </w:r>
      <w:r>
        <w:rPr>
          <w:rFonts w:hint="eastAsia" w:eastAsia="仿宋_GB2312"/>
          <w:b w:val="0"/>
          <w:bCs/>
          <w:color w:val="0070C0"/>
          <w:sz w:val="28"/>
          <w:szCs w:val="28"/>
          <w:lang w:val="en-US" w:eastAsia="zh-CN"/>
        </w:rPr>
        <w:t>1</w:t>
      </w:r>
      <w:r>
        <w:rPr>
          <w:rFonts w:hint="eastAsia" w:eastAsia="仿宋_GB2312"/>
          <w:b w:val="0"/>
          <w:bCs/>
          <w:color w:val="0070C0"/>
          <w:sz w:val="28"/>
          <w:szCs w:val="28"/>
          <w:lang w:eastAsia="zh-CN"/>
        </w:rPr>
        <w:t>）</w:t>
      </w:r>
      <w:r>
        <w:rPr>
          <w:rFonts w:eastAsia="仿宋_GB2312"/>
          <w:b w:val="0"/>
          <w:bCs/>
          <w:color w:val="0070C0"/>
          <w:sz w:val="28"/>
          <w:szCs w:val="28"/>
        </w:rPr>
        <w:t>BOT合同规定的</w:t>
      </w:r>
      <w:r>
        <w:rPr>
          <w:rFonts w:hint="eastAsia" w:eastAsia="仿宋_GB2312"/>
          <w:b w:val="0"/>
          <w:bCs/>
          <w:color w:val="0070C0"/>
          <w:sz w:val="28"/>
          <w:szCs w:val="28"/>
        </w:rPr>
        <w:t>运营期保险承保范围</w:t>
      </w:r>
    </w:p>
    <w:p w14:paraId="720C0247">
      <w:pPr>
        <w:spacing w:line="520" w:lineRule="exact"/>
        <w:ind w:left="-567" w:leftChars="-270"/>
        <w:rPr>
          <w:rFonts w:hint="eastAsia" w:eastAsia="仿宋_GB2312"/>
          <w:b/>
          <w:color w:val="0070C0"/>
          <w:sz w:val="22"/>
          <w:szCs w:val="32"/>
        </w:rPr>
      </w:pPr>
    </w:p>
    <w:tbl>
      <w:tblPr>
        <w:tblStyle w:val="4"/>
        <w:tblW w:w="0" w:type="auto"/>
        <w:tblInd w:w="-459" w:type="dxa"/>
        <w:tblLayout w:type="fixed"/>
        <w:tblCellMar>
          <w:top w:w="0" w:type="dxa"/>
          <w:left w:w="108" w:type="dxa"/>
          <w:bottom w:w="0" w:type="dxa"/>
          <w:right w:w="108" w:type="dxa"/>
        </w:tblCellMar>
      </w:tblPr>
      <w:tblGrid>
        <w:gridCol w:w="2127"/>
        <w:gridCol w:w="7371"/>
      </w:tblGrid>
      <w:tr w14:paraId="02F3ABAC">
        <w:tblPrEx>
          <w:tblCellMar>
            <w:top w:w="0" w:type="dxa"/>
            <w:left w:w="108" w:type="dxa"/>
            <w:bottom w:w="0" w:type="dxa"/>
            <w:right w:w="108" w:type="dxa"/>
          </w:tblCellMar>
        </w:tblPrEx>
        <w:trPr>
          <w:trHeight w:val="624" w:hRule="atLeast"/>
        </w:trPr>
        <w:tc>
          <w:tcPr>
            <w:tcW w:w="2127" w:type="dxa"/>
            <w:tcBorders>
              <w:top w:val="single" w:color="auto" w:sz="4" w:space="0"/>
              <w:left w:val="single" w:color="auto" w:sz="4" w:space="0"/>
              <w:bottom w:val="single" w:color="auto" w:sz="4" w:space="0"/>
              <w:right w:val="single" w:color="auto" w:sz="4" w:space="0"/>
            </w:tcBorders>
            <w:noWrap/>
            <w:vAlign w:val="center"/>
          </w:tcPr>
          <w:p w14:paraId="2043642D">
            <w:pPr>
              <w:widowControl/>
              <w:spacing w:line="520" w:lineRule="exact"/>
              <w:jc w:val="center"/>
              <w:rPr>
                <w:rFonts w:hint="eastAsia" w:eastAsia="仿宋_GB2312" w:cs="宋体"/>
                <w:b/>
                <w:bCs/>
                <w:color w:val="0070C0"/>
                <w:kern w:val="0"/>
                <w:sz w:val="28"/>
                <w:szCs w:val="32"/>
              </w:rPr>
            </w:pPr>
            <w:r>
              <w:rPr>
                <w:rFonts w:hint="eastAsia" w:eastAsia="仿宋_GB2312" w:cs="宋体"/>
                <w:b/>
                <w:bCs/>
                <w:color w:val="0070C0"/>
                <w:kern w:val="0"/>
                <w:sz w:val="28"/>
                <w:szCs w:val="32"/>
              </w:rPr>
              <w:t>保险种类</w:t>
            </w:r>
          </w:p>
        </w:tc>
        <w:tc>
          <w:tcPr>
            <w:tcW w:w="7371" w:type="dxa"/>
            <w:tcBorders>
              <w:top w:val="single" w:color="auto" w:sz="4" w:space="0"/>
              <w:left w:val="nil"/>
              <w:bottom w:val="single" w:color="auto" w:sz="4" w:space="0"/>
              <w:right w:val="single" w:color="auto" w:sz="4" w:space="0"/>
            </w:tcBorders>
            <w:noWrap/>
            <w:vAlign w:val="center"/>
          </w:tcPr>
          <w:p w14:paraId="0712A6FF">
            <w:pPr>
              <w:widowControl/>
              <w:spacing w:line="520" w:lineRule="exact"/>
              <w:jc w:val="center"/>
              <w:rPr>
                <w:rFonts w:hint="eastAsia" w:eastAsia="仿宋_GB2312" w:cs="宋体"/>
                <w:b/>
                <w:bCs/>
                <w:color w:val="0070C0"/>
                <w:kern w:val="0"/>
                <w:sz w:val="28"/>
                <w:szCs w:val="32"/>
              </w:rPr>
            </w:pPr>
            <w:r>
              <w:rPr>
                <w:rFonts w:hint="eastAsia" w:eastAsia="仿宋_GB2312" w:cs="宋体"/>
                <w:b/>
                <w:bCs/>
                <w:color w:val="0070C0"/>
                <w:kern w:val="0"/>
                <w:sz w:val="28"/>
                <w:szCs w:val="32"/>
              </w:rPr>
              <w:t>承保范围</w:t>
            </w:r>
          </w:p>
        </w:tc>
      </w:tr>
      <w:tr w14:paraId="57B845B5">
        <w:tblPrEx>
          <w:tblCellMar>
            <w:top w:w="0" w:type="dxa"/>
            <w:left w:w="108" w:type="dxa"/>
            <w:bottom w:w="0" w:type="dxa"/>
            <w:right w:w="108" w:type="dxa"/>
          </w:tblCellMar>
        </w:tblPrEx>
        <w:trPr>
          <w:trHeight w:val="1455" w:hRule="atLeast"/>
        </w:trPr>
        <w:tc>
          <w:tcPr>
            <w:tcW w:w="2127" w:type="dxa"/>
            <w:tcBorders>
              <w:top w:val="nil"/>
              <w:left w:val="single" w:color="auto" w:sz="4" w:space="0"/>
              <w:bottom w:val="single" w:color="auto" w:sz="4" w:space="0"/>
              <w:right w:val="single" w:color="auto" w:sz="4" w:space="0"/>
            </w:tcBorders>
            <w:noWrap/>
            <w:vAlign w:val="center"/>
          </w:tcPr>
          <w:p w14:paraId="0D6AB192">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All Risks Insurance财产一切险</w:t>
            </w:r>
          </w:p>
        </w:tc>
        <w:tc>
          <w:tcPr>
            <w:tcW w:w="7371" w:type="dxa"/>
            <w:tcBorders>
              <w:top w:val="nil"/>
              <w:left w:val="nil"/>
              <w:bottom w:val="single" w:color="auto" w:sz="4" w:space="0"/>
              <w:right w:val="single" w:color="auto" w:sz="4" w:space="0"/>
            </w:tcBorders>
            <w:noWrap w:val="0"/>
            <w:vAlign w:val="center"/>
          </w:tcPr>
          <w:p w14:paraId="080D3C0F">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Coverage(which may be effected by one or a combination of policies)shall include all building contents,machinery,stock fixtures,fittings and all other personal property forming part of the Power Facility against “All Risks”of physical loss or damage,including those resulting from fire, lightning,explosion,spontaneous</w:t>
            </w:r>
          </w:p>
          <w:p w14:paraId="60C3A8D7">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combustion,storm,wind,tempest,flood,hurricane,</w:t>
            </w:r>
          </w:p>
          <w:p w14:paraId="7743609C">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water damage,riot,strikes,malicious damage,tsunami,  collapse and/or loss of contents of tanks and,if commercially available, sabotage and/or earthquake.Coverage shall be in an amount equal to the full replacement value of the Power Facility.保险</w:t>
            </w:r>
            <w:r>
              <w:rPr>
                <w:rFonts w:hint="eastAsia" w:eastAsia="仿宋_GB2312" w:cs="宋体"/>
                <w:color w:val="0070C0"/>
                <w:kern w:val="0"/>
                <w:sz w:val="28"/>
                <w:szCs w:val="32"/>
                <w:lang w:val="en-US" w:eastAsia="zh-CN"/>
              </w:rPr>
              <w:t>范围</w:t>
            </w:r>
            <w:r>
              <w:rPr>
                <w:rFonts w:hint="eastAsia" w:eastAsia="仿宋_GB2312" w:cs="宋体"/>
                <w:color w:val="0070C0"/>
                <w:kern w:val="0"/>
                <w:sz w:val="28"/>
                <w:szCs w:val="32"/>
              </w:rPr>
              <w:t>（可通过一份保单或多份保单组合承保）应涵盖电站设施所属的所有建筑物内物品、机器设备、库存、固定装置、配件及其他所有构成电站设施一部分的动产，保障其免受 “一切险” 导致的物质损失或损坏，包括由火灾、雷击、爆炸、自燃、风暴、狂风、暴风雨、洪水、飓风、水渍、暴乱、罢工、恶意损害、海啸、倒塌及 / 或储罐内物品损失所造成的损失或损坏；若市场可承保，还应包括破坏及 / 或地震造成的损失或损坏。保险金额应等同于电站设施的全额重置价值。</w:t>
            </w:r>
          </w:p>
        </w:tc>
      </w:tr>
      <w:tr w14:paraId="1CB79B2A">
        <w:tblPrEx>
          <w:tblCellMar>
            <w:top w:w="0" w:type="dxa"/>
            <w:left w:w="108" w:type="dxa"/>
            <w:bottom w:w="0" w:type="dxa"/>
            <w:right w:w="108" w:type="dxa"/>
          </w:tblCellMar>
        </w:tblPrEx>
        <w:trPr>
          <w:trHeight w:val="1410" w:hRule="atLeast"/>
        </w:trPr>
        <w:tc>
          <w:tcPr>
            <w:tcW w:w="2127" w:type="dxa"/>
            <w:tcBorders>
              <w:top w:val="nil"/>
              <w:left w:val="single" w:color="auto" w:sz="4" w:space="0"/>
              <w:bottom w:val="single" w:color="auto" w:sz="4" w:space="0"/>
              <w:right w:val="single" w:color="auto" w:sz="4" w:space="0"/>
            </w:tcBorders>
            <w:noWrap/>
            <w:vAlign w:val="center"/>
          </w:tcPr>
          <w:p w14:paraId="033FBCA5">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Consequential Loss</w:t>
            </w:r>
          </w:p>
          <w:p w14:paraId="6BB8E541">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Following All</w:t>
            </w:r>
          </w:p>
          <w:p w14:paraId="61E84963">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Risks财产一切险项下的营业损失险</w:t>
            </w:r>
          </w:p>
        </w:tc>
        <w:tc>
          <w:tcPr>
            <w:tcW w:w="7371" w:type="dxa"/>
            <w:tcBorders>
              <w:top w:val="nil"/>
              <w:left w:val="nil"/>
              <w:bottom w:val="single" w:color="auto" w:sz="4" w:space="0"/>
              <w:right w:val="single" w:color="auto" w:sz="4" w:space="0"/>
            </w:tcBorders>
            <w:noWrap w:val="0"/>
            <w:vAlign w:val="center"/>
          </w:tcPr>
          <w:p w14:paraId="388DB83D">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Coverage shall insure against loss of revenue(</w:t>
            </w:r>
            <w:bookmarkStart w:id="0" w:name="OLE_LINK1"/>
            <w:r>
              <w:rPr>
                <w:rFonts w:hint="eastAsia" w:eastAsia="仿宋_GB2312" w:cs="宋体"/>
                <w:color w:val="0070C0"/>
                <w:kern w:val="0"/>
                <w:sz w:val="28"/>
                <w:szCs w:val="32"/>
              </w:rPr>
              <w:t>including any consequential take or pay coal obligations of the Party A incurred in connection therewith</w:t>
            </w:r>
            <w:bookmarkEnd w:id="0"/>
            <w:r>
              <w:rPr>
                <w:rFonts w:hint="eastAsia" w:eastAsia="仿宋_GB2312" w:cs="宋体"/>
                <w:color w:val="0070C0"/>
                <w:kern w:val="0"/>
                <w:sz w:val="28"/>
                <w:szCs w:val="32"/>
              </w:rPr>
              <w:t>)due to loss of capacity and/or loss of output as a direct consequence of loss of or damage to the Power Facility and caused by a peril insured under All Risks Insurance.Coverage shall be in amount equal to or greater than fifteen(15)months estimated Capacity Charge to be received following the Required Commercial Operation Date of the First Unit or the Power Facility,as the context requires,with maximum deductible of ninety (90)Days.本保险应承保因 “一切险” 保单所承保的风险导致电站设施发生损失或损坏，进而直接造成发电容量损失和/或发电量损失，由此产生的收入损失（包括</w:t>
            </w:r>
            <w:r>
              <w:rPr>
                <w:rFonts w:hint="eastAsia" w:eastAsia="仿宋_GB2312" w:cs="宋体"/>
                <w:color w:val="0070C0"/>
                <w:kern w:val="0"/>
                <w:sz w:val="28"/>
                <w:szCs w:val="32"/>
                <w:lang w:val="en-US" w:eastAsia="zh-CN"/>
              </w:rPr>
              <w:t>项目</w:t>
            </w:r>
            <w:r>
              <w:rPr>
                <w:rFonts w:hint="eastAsia" w:eastAsia="仿宋_GB2312" w:cs="宋体"/>
                <w:color w:val="0070C0"/>
                <w:kern w:val="0"/>
                <w:sz w:val="28"/>
                <w:szCs w:val="32"/>
              </w:rPr>
              <w:t>公司因此产生的任何相应的照付不议煤炭</w:t>
            </w:r>
            <w:r>
              <w:rPr>
                <w:rFonts w:hint="eastAsia" w:eastAsia="仿宋_GB2312" w:cs="宋体"/>
                <w:color w:val="0070C0"/>
                <w:kern w:val="0"/>
                <w:sz w:val="28"/>
                <w:szCs w:val="32"/>
                <w:lang w:val="en-US" w:eastAsia="zh-CN"/>
              </w:rPr>
              <w:t>款项</w:t>
            </w:r>
            <w:r>
              <w:rPr>
                <w:rFonts w:hint="eastAsia" w:eastAsia="仿宋_GB2312" w:cs="宋体"/>
                <w:color w:val="0070C0"/>
                <w:kern w:val="0"/>
                <w:sz w:val="28"/>
                <w:szCs w:val="32"/>
              </w:rPr>
              <w:t>责任）。保险金额应等于或高于第一台机组或电站设施（根据上下文要求确定）达到约定商业运营日后预计可收取的十五（15）个月容量电费，且最大免赔期为九十（90）天。</w:t>
            </w:r>
          </w:p>
        </w:tc>
      </w:tr>
      <w:tr w14:paraId="4FA15305">
        <w:tblPrEx>
          <w:tblCellMar>
            <w:top w:w="0" w:type="dxa"/>
            <w:left w:w="108" w:type="dxa"/>
            <w:bottom w:w="0" w:type="dxa"/>
            <w:right w:w="108" w:type="dxa"/>
          </w:tblCellMar>
        </w:tblPrEx>
        <w:trPr>
          <w:trHeight w:val="699" w:hRule="atLeast"/>
        </w:trPr>
        <w:tc>
          <w:tcPr>
            <w:tcW w:w="2127" w:type="dxa"/>
            <w:tcBorders>
              <w:top w:val="nil"/>
              <w:left w:val="single" w:color="auto" w:sz="4" w:space="0"/>
              <w:bottom w:val="single" w:color="auto" w:sz="4" w:space="0"/>
              <w:right w:val="single" w:color="auto" w:sz="4" w:space="0"/>
            </w:tcBorders>
            <w:noWrap/>
            <w:vAlign w:val="center"/>
          </w:tcPr>
          <w:p w14:paraId="7126A87D">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Machinery</w:t>
            </w:r>
          </w:p>
          <w:p w14:paraId="2F022A56">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Breakdown 机器损毁险</w:t>
            </w:r>
          </w:p>
        </w:tc>
        <w:tc>
          <w:tcPr>
            <w:tcW w:w="7371" w:type="dxa"/>
            <w:tcBorders>
              <w:top w:val="nil"/>
              <w:left w:val="nil"/>
              <w:bottom w:val="single" w:color="auto" w:sz="4" w:space="0"/>
              <w:right w:val="single" w:color="auto" w:sz="4" w:space="0"/>
            </w:tcBorders>
            <w:noWrap w:val="0"/>
            <w:vAlign w:val="center"/>
          </w:tcPr>
          <w:p w14:paraId="5BFFED72">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Coverage shall insure against all machinery,plant,boilers and ancillary equipment forming part of the Power Facility against sudden and unforeseen physical loss or damage resulting from mechanical and electrical breakdown or derangement,explosion or collapse of boilers and pressure vessels,electrical short circuits,vibration,misalignment, excessive current or voltage,abnormal stresses,centrifugal forces,failure of protective or regulating devices,overheating,entry of foreign bodies. impact,collision and other similar causes.Coverage shall be in an amount equal to the full replacement value of all machinery,plant boilers and ancillary equipment forming part of the Power Facility.</w:t>
            </w:r>
          </w:p>
          <w:p w14:paraId="7F2EB275">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保险范围应针对由机器或电力故障或紊乱、锅炉和压力容</w:t>
            </w:r>
          </w:p>
          <w:p w14:paraId="5E0052AA">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器爆炸或破裂、电线短路、振动、未校准、电流或电压过大、应力异常、离心力、保护或调解设施故障、过热、外来物体进入、冲击、碰撞和其它类似原因引起的所有机器、装置、锅炉和构成电厂设备的辅助设备的突发和无法预见的实际损失或损害。保险金额应当等于所有机器、装置、锅炉和构成电厂设备的辅助设备的全面重置价值。</w:t>
            </w:r>
          </w:p>
        </w:tc>
      </w:tr>
      <w:tr w14:paraId="54AB8779">
        <w:tblPrEx>
          <w:tblCellMar>
            <w:top w:w="0" w:type="dxa"/>
            <w:left w:w="108" w:type="dxa"/>
            <w:bottom w:w="0" w:type="dxa"/>
            <w:right w:w="108" w:type="dxa"/>
          </w:tblCellMar>
        </w:tblPrEx>
        <w:trPr>
          <w:trHeight w:val="1290" w:hRule="atLeast"/>
        </w:trPr>
        <w:tc>
          <w:tcPr>
            <w:tcW w:w="2127" w:type="dxa"/>
            <w:tcBorders>
              <w:top w:val="nil"/>
              <w:left w:val="single" w:color="auto" w:sz="4" w:space="0"/>
              <w:bottom w:val="nil"/>
              <w:right w:val="single" w:color="auto" w:sz="4" w:space="0"/>
            </w:tcBorders>
            <w:noWrap/>
            <w:vAlign w:val="center"/>
          </w:tcPr>
          <w:p w14:paraId="6BB7602E">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Consequential Loss Following</w:t>
            </w:r>
          </w:p>
          <w:p w14:paraId="5A44DCD3">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Machinery</w:t>
            </w:r>
          </w:p>
          <w:p w14:paraId="0FB596B5">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Breakdown机器损毁险项下的营业损失险</w:t>
            </w:r>
          </w:p>
        </w:tc>
        <w:tc>
          <w:tcPr>
            <w:tcW w:w="7371" w:type="dxa"/>
            <w:tcBorders>
              <w:top w:val="nil"/>
              <w:left w:val="nil"/>
              <w:bottom w:val="nil"/>
              <w:right w:val="single" w:color="auto" w:sz="4" w:space="0"/>
            </w:tcBorders>
            <w:noWrap w:val="0"/>
            <w:vAlign w:val="center"/>
          </w:tcPr>
          <w:p w14:paraId="1EFB8D01">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Coverage shall insure against loss of revenue (including any</w:t>
            </w:r>
          </w:p>
          <w:p w14:paraId="4291CFB8">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consequential take or pay coal obligations of the Party A incurred in connection therewith)due to loss of capacity and/or loss of output as a direct consequence of loss or damage to the Power Facility caused by a peril insured under Machinery Breakdown insurance.Coverage shall be in an amount equal to or greater than fifteen(15)months'estimated Capacity Charge to be received following the Required Commercial Operation</w:t>
            </w:r>
            <w:r>
              <w:rPr>
                <w:rFonts w:hint="eastAsia" w:eastAsia="仿宋_GB2312" w:cs="宋体"/>
                <w:color w:val="0070C0"/>
                <w:kern w:val="0"/>
                <w:sz w:val="28"/>
                <w:szCs w:val="32"/>
                <w:lang w:val="en-US" w:eastAsia="zh-CN"/>
              </w:rPr>
              <w:t xml:space="preserve"> </w:t>
            </w:r>
            <w:r>
              <w:rPr>
                <w:rFonts w:hint="eastAsia" w:eastAsia="仿宋_GB2312" w:cs="宋体"/>
                <w:color w:val="0070C0"/>
                <w:kern w:val="0"/>
                <w:sz w:val="28"/>
                <w:szCs w:val="32"/>
              </w:rPr>
              <w:t>Date of the First Unit or the Power Facility,as the context requires,with maximum deductible of ninety(90)Days.本保险应承保因 “机器损坏险” 保单所承保的风险导致电站设施发生损失或损坏，进而直接造成发电容量损失和 / 或发电量损失，由此产生的收入损失（包括</w:t>
            </w:r>
            <w:r>
              <w:rPr>
                <w:rFonts w:hint="eastAsia" w:eastAsia="仿宋_GB2312" w:cs="宋体"/>
                <w:color w:val="0070C0"/>
                <w:kern w:val="0"/>
                <w:sz w:val="28"/>
                <w:szCs w:val="32"/>
                <w:lang w:val="en-US" w:eastAsia="zh-CN"/>
              </w:rPr>
              <w:t>项目公司</w:t>
            </w:r>
            <w:r>
              <w:rPr>
                <w:rFonts w:hint="eastAsia" w:eastAsia="仿宋_GB2312" w:cs="宋体"/>
                <w:color w:val="0070C0"/>
                <w:kern w:val="0"/>
                <w:sz w:val="28"/>
                <w:szCs w:val="32"/>
              </w:rPr>
              <w:t>因此产生的任何相应的照付不议煤炭</w:t>
            </w:r>
            <w:r>
              <w:rPr>
                <w:rFonts w:hint="eastAsia" w:eastAsia="仿宋_GB2312" w:cs="宋体"/>
                <w:color w:val="0070C0"/>
                <w:kern w:val="0"/>
                <w:sz w:val="28"/>
                <w:szCs w:val="32"/>
                <w:lang w:val="en-US" w:eastAsia="zh-CN"/>
              </w:rPr>
              <w:t>款项</w:t>
            </w:r>
            <w:r>
              <w:rPr>
                <w:rFonts w:hint="eastAsia" w:eastAsia="仿宋_GB2312" w:cs="宋体"/>
                <w:color w:val="0070C0"/>
                <w:kern w:val="0"/>
                <w:sz w:val="28"/>
                <w:szCs w:val="32"/>
              </w:rPr>
              <w:t>责任）。保险金额应等于或高于第一台机组或电站设施（根据上下文要求确定）达到约定商业运营日后预计可收取的十五（15）个月容量电费，且最大免赔期为九十（90）天。</w:t>
            </w:r>
          </w:p>
        </w:tc>
      </w:tr>
      <w:tr w14:paraId="71A10DB1">
        <w:tblPrEx>
          <w:tblCellMar>
            <w:top w:w="0" w:type="dxa"/>
            <w:left w:w="108" w:type="dxa"/>
            <w:bottom w:w="0" w:type="dxa"/>
            <w:right w:w="108" w:type="dxa"/>
          </w:tblCellMar>
        </w:tblPrEx>
        <w:trPr>
          <w:trHeight w:val="1290" w:hRule="atLeast"/>
        </w:trPr>
        <w:tc>
          <w:tcPr>
            <w:tcW w:w="2127" w:type="dxa"/>
            <w:tcBorders>
              <w:top w:val="nil"/>
              <w:left w:val="single" w:color="auto" w:sz="4" w:space="0"/>
              <w:bottom w:val="nil"/>
              <w:right w:val="single" w:color="auto" w:sz="4" w:space="0"/>
            </w:tcBorders>
            <w:noWrap/>
            <w:vAlign w:val="top"/>
          </w:tcPr>
          <w:p w14:paraId="7A49A608">
            <w:pPr>
              <w:widowControl/>
              <w:spacing w:before="24" w:line="520" w:lineRule="exact"/>
              <w:ind w:left="464" w:leftChars="0"/>
              <w:jc w:val="left"/>
              <w:rPr>
                <w:rFonts w:hint="eastAsia" w:eastAsia="仿宋_GB2312" w:cs="宋体"/>
                <w:color w:val="0070C0"/>
                <w:kern w:val="0"/>
                <w:sz w:val="28"/>
                <w:szCs w:val="32"/>
              </w:rPr>
            </w:pPr>
            <w:r>
              <w:rPr>
                <w:rFonts w:hint="eastAsia" w:eastAsia="仿宋_GB2312" w:cs="宋体"/>
                <w:color w:val="0070C0"/>
                <w:spacing w:val="0"/>
                <w:kern w:val="0"/>
                <w:sz w:val="28"/>
                <w:szCs w:val="32"/>
              </w:rPr>
              <w:t>Marine Cargo  Insurance(Coal) 海洋货物货运输险 (煤炭)</w:t>
            </w:r>
          </w:p>
        </w:tc>
        <w:tc>
          <w:tcPr>
            <w:tcW w:w="7371" w:type="dxa"/>
            <w:tcBorders>
              <w:top w:val="nil"/>
              <w:left w:val="nil"/>
              <w:bottom w:val="nil"/>
              <w:right w:val="single" w:color="auto" w:sz="4" w:space="0"/>
            </w:tcBorders>
            <w:noWrap w:val="0"/>
            <w:vAlign w:val="top"/>
          </w:tcPr>
          <w:p w14:paraId="7C67247F">
            <w:pPr>
              <w:widowControl/>
              <w:spacing w:before="1" w:line="520" w:lineRule="exact"/>
              <w:ind w:left="31" w:leftChars="0" w:right="1082" w:rightChars="0" w:firstLineChars="0"/>
              <w:jc w:val="left"/>
              <w:rPr>
                <w:rFonts w:hint="eastAsia" w:eastAsia="仿宋_GB2312" w:cs="宋体"/>
                <w:color w:val="0070C0"/>
                <w:kern w:val="0"/>
                <w:sz w:val="28"/>
                <w:szCs w:val="32"/>
                <w:lang w:eastAsia="zh-CN"/>
              </w:rPr>
            </w:pPr>
            <w:r>
              <w:rPr>
                <w:rFonts w:hint="eastAsia" w:eastAsia="仿宋_GB2312" w:cs="宋体"/>
                <w:color w:val="0070C0"/>
                <w:spacing w:val="0"/>
                <w:kern w:val="0"/>
                <w:sz w:val="28"/>
                <w:szCs w:val="32"/>
              </w:rPr>
              <w:t>Marine cargo insurance in respect of Coal against all risks of physical loss</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or damage after the Coal is loaded on board the</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vessel at the Loading Port</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and while at transit by sea to the Site.</w:t>
            </w:r>
            <w:r>
              <w:rPr>
                <w:rFonts w:hint="eastAsia" w:eastAsia="仿宋_GB2312" w:cs="宋体"/>
                <w:color w:val="0070C0"/>
                <w:kern w:val="0"/>
                <w:sz w:val="28"/>
                <w:szCs w:val="32"/>
              </w:rPr>
              <w:t>煤炭的海运货物保险应承保煤炭在装货港装上船舶后以及经海路运输至项目现场期间因一切险导致的物质损失或损坏</w:t>
            </w:r>
            <w:r>
              <w:rPr>
                <w:rFonts w:hint="eastAsia" w:eastAsia="仿宋_GB2312" w:cs="宋体"/>
                <w:color w:val="0070C0"/>
                <w:spacing w:val="0"/>
                <w:kern w:val="0"/>
                <w:sz w:val="28"/>
                <w:szCs w:val="32"/>
                <w:lang w:eastAsia="zh-CN"/>
              </w:rPr>
              <w:t>。</w:t>
            </w:r>
          </w:p>
        </w:tc>
      </w:tr>
      <w:tr w14:paraId="71F504E8">
        <w:tblPrEx>
          <w:tblCellMar>
            <w:top w:w="0" w:type="dxa"/>
            <w:left w:w="108" w:type="dxa"/>
            <w:bottom w:w="0" w:type="dxa"/>
            <w:right w:w="108" w:type="dxa"/>
          </w:tblCellMar>
        </w:tblPrEx>
        <w:trPr>
          <w:trHeight w:val="90" w:hRule="atLeast"/>
        </w:trPr>
        <w:tc>
          <w:tcPr>
            <w:tcW w:w="2127" w:type="dxa"/>
            <w:tcBorders>
              <w:top w:val="nil"/>
              <w:left w:val="single" w:color="auto" w:sz="4" w:space="0"/>
              <w:bottom w:val="nil"/>
              <w:right w:val="single" w:color="auto" w:sz="4" w:space="0"/>
            </w:tcBorders>
            <w:noWrap/>
            <w:vAlign w:val="top"/>
          </w:tcPr>
          <w:p w14:paraId="0456004E">
            <w:pPr>
              <w:widowControl/>
              <w:spacing w:line="520" w:lineRule="exact"/>
              <w:jc w:val="left"/>
              <w:rPr>
                <w:rFonts w:hint="eastAsia" w:eastAsia="仿宋_GB2312" w:cs="宋体" w:asciiTheme="minorHAnsi"/>
                <w:color w:val="0070C0"/>
                <w:kern w:val="0"/>
                <w:sz w:val="28"/>
                <w:szCs w:val="32"/>
              </w:rPr>
            </w:pPr>
          </w:p>
          <w:p w14:paraId="20091EC4">
            <w:pPr>
              <w:widowControl/>
              <w:spacing w:before="66" w:line="520" w:lineRule="exact"/>
              <w:ind w:left="395"/>
              <w:jc w:val="left"/>
              <w:rPr>
                <w:rFonts w:hint="eastAsia" w:eastAsia="仿宋_GB2312" w:cs="宋体"/>
                <w:color w:val="0070C0"/>
                <w:kern w:val="0"/>
                <w:sz w:val="28"/>
                <w:szCs w:val="32"/>
              </w:rPr>
            </w:pPr>
            <w:r>
              <w:rPr>
                <w:rFonts w:hint="eastAsia" w:eastAsia="仿宋_GB2312" w:cs="宋体"/>
                <w:color w:val="0070C0"/>
                <w:spacing w:val="0"/>
                <w:kern w:val="0"/>
                <w:sz w:val="28"/>
                <w:szCs w:val="32"/>
              </w:rPr>
              <w:t>Commercial/General Liability</w:t>
            </w:r>
          </w:p>
          <w:p w14:paraId="31404005">
            <w:pPr>
              <w:widowControl/>
              <w:spacing w:before="112" w:line="520" w:lineRule="exact"/>
              <w:ind w:left="245" w:leftChars="0"/>
              <w:jc w:val="left"/>
              <w:rPr>
                <w:rFonts w:hint="eastAsia" w:eastAsia="仿宋_GB2312" w:cs="宋体"/>
                <w:color w:val="0070C0"/>
                <w:kern w:val="0"/>
                <w:sz w:val="28"/>
                <w:szCs w:val="32"/>
              </w:rPr>
            </w:pPr>
            <w:r>
              <w:rPr>
                <w:rFonts w:hint="eastAsia" w:eastAsia="仿宋_GB2312" w:cs="宋体"/>
                <w:color w:val="0070C0"/>
                <w:spacing w:val="0"/>
                <w:kern w:val="0"/>
                <w:sz w:val="28"/>
                <w:szCs w:val="32"/>
              </w:rPr>
              <w:t>商业/综合责任险</w:t>
            </w:r>
          </w:p>
        </w:tc>
        <w:tc>
          <w:tcPr>
            <w:tcW w:w="7371" w:type="dxa"/>
            <w:tcBorders>
              <w:top w:val="nil"/>
              <w:left w:val="nil"/>
              <w:bottom w:val="nil"/>
              <w:right w:val="single" w:color="auto" w:sz="4" w:space="0"/>
            </w:tcBorders>
            <w:noWrap w:val="0"/>
            <w:vAlign w:val="top"/>
          </w:tcPr>
          <w:p w14:paraId="5468D5DC">
            <w:pPr>
              <w:widowControl/>
              <w:spacing w:before="99" w:line="520" w:lineRule="exact"/>
              <w:ind w:left="31" w:leftChars="0"/>
              <w:jc w:val="left"/>
              <w:rPr>
                <w:rFonts w:hint="eastAsia" w:eastAsia="仿宋_GB2312" w:cs="宋体"/>
                <w:color w:val="0070C0"/>
                <w:kern w:val="0"/>
                <w:sz w:val="28"/>
                <w:szCs w:val="32"/>
              </w:rPr>
            </w:pPr>
            <w:r>
              <w:rPr>
                <w:rFonts w:hint="eastAsia" w:eastAsia="仿宋_GB2312" w:cs="宋体"/>
                <w:color w:val="0070C0"/>
                <w:spacing w:val="0"/>
                <w:kern w:val="0"/>
                <w:sz w:val="28"/>
                <w:szCs w:val="32"/>
              </w:rPr>
              <w:t>Coverage shall insure against legal liability to third parties for bodily</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injury or damage to property arising out of the operation of the Power</w:t>
            </w:r>
            <w:r>
              <w:rPr>
                <w:rFonts w:hint="eastAsia" w:eastAsia="仿宋_GB2312" w:cs="宋体"/>
                <w:color w:val="0070C0"/>
                <w:kern w:val="0"/>
                <w:sz w:val="28"/>
                <w:szCs w:val="32"/>
              </w:rPr>
              <w:t xml:space="preserve"> Facility.Coverage</w:t>
            </w:r>
            <w:r>
              <w:rPr>
                <w:rFonts w:hint="eastAsia" w:eastAsia="仿宋_GB2312" w:cs="宋体"/>
                <w:color w:val="0070C0"/>
                <w:spacing w:val="0"/>
                <w:kern w:val="0"/>
                <w:sz w:val="28"/>
                <w:szCs w:val="32"/>
              </w:rPr>
              <w:t xml:space="preserve"> </w:t>
            </w:r>
            <w:r>
              <w:rPr>
                <w:rFonts w:hint="eastAsia" w:eastAsia="仿宋_GB2312" w:cs="宋体"/>
                <w:color w:val="0070C0"/>
                <w:kern w:val="0"/>
                <w:sz w:val="28"/>
                <w:szCs w:val="32"/>
              </w:rPr>
              <w:t>shall be</w:t>
            </w:r>
            <w:r>
              <w:rPr>
                <w:rFonts w:hint="eastAsia" w:eastAsia="仿宋_GB2312" w:cs="宋体"/>
                <w:color w:val="0070C0"/>
                <w:spacing w:val="0"/>
                <w:kern w:val="0"/>
                <w:sz w:val="28"/>
                <w:szCs w:val="32"/>
              </w:rPr>
              <w:t xml:space="preserve"> USD 20,000,000 for any one occurrence.</w:t>
            </w:r>
            <w:r>
              <w:rPr>
                <w:rFonts w:hint="eastAsia" w:eastAsia="仿宋_GB2312" w:cs="宋体"/>
                <w:color w:val="0070C0"/>
                <w:kern w:val="0"/>
                <w:sz w:val="28"/>
                <w:szCs w:val="32"/>
              </w:rPr>
              <w:t>本保险应承保因电站设施运营引发的对第三方人身伤害或财产损失的法律责任。每次事故的保险金额为 20,000,000 美元。</w:t>
            </w:r>
            <w:r>
              <w:rPr>
                <w:rFonts w:hint="eastAsia" w:eastAsia="仿宋_GB2312" w:cs="宋体"/>
                <w:color w:val="0070C0"/>
                <w:spacing w:val="0"/>
                <w:kern w:val="0"/>
                <w:sz w:val="28"/>
                <w:szCs w:val="32"/>
              </w:rPr>
              <w:t>。</w:t>
            </w:r>
          </w:p>
        </w:tc>
      </w:tr>
      <w:tr w14:paraId="735BAE71">
        <w:tblPrEx>
          <w:tblCellMar>
            <w:top w:w="0" w:type="dxa"/>
            <w:left w:w="108" w:type="dxa"/>
            <w:bottom w:w="0" w:type="dxa"/>
            <w:right w:w="108" w:type="dxa"/>
          </w:tblCellMar>
        </w:tblPrEx>
        <w:trPr>
          <w:trHeight w:val="1375" w:hRule="atLeast"/>
        </w:trPr>
        <w:tc>
          <w:tcPr>
            <w:tcW w:w="2127" w:type="dxa"/>
            <w:tcBorders>
              <w:top w:val="nil"/>
              <w:left w:val="single" w:color="auto" w:sz="4" w:space="0"/>
              <w:bottom w:val="nil"/>
              <w:right w:val="single" w:color="auto" w:sz="4" w:space="0"/>
            </w:tcBorders>
            <w:noWrap/>
            <w:vAlign w:val="top"/>
          </w:tcPr>
          <w:p w14:paraId="151257B4">
            <w:pPr>
              <w:widowControl/>
              <w:spacing w:line="520" w:lineRule="exact"/>
              <w:jc w:val="center"/>
              <w:rPr>
                <w:rFonts w:hint="eastAsia" w:eastAsia="仿宋_GB2312" w:cs="宋体" w:asciiTheme="minorHAnsi"/>
                <w:color w:val="0070C0"/>
                <w:kern w:val="0"/>
                <w:sz w:val="28"/>
                <w:szCs w:val="32"/>
              </w:rPr>
            </w:pPr>
          </w:p>
          <w:p w14:paraId="10BE2EC1">
            <w:pPr>
              <w:widowControl/>
              <w:spacing w:before="65" w:line="520" w:lineRule="exact"/>
              <w:ind w:left="645"/>
              <w:jc w:val="center"/>
              <w:rPr>
                <w:rFonts w:hint="eastAsia" w:eastAsia="仿宋_GB2312" w:cs="宋体"/>
                <w:color w:val="0070C0"/>
                <w:spacing w:val="0"/>
                <w:kern w:val="0"/>
                <w:sz w:val="28"/>
                <w:szCs w:val="32"/>
              </w:rPr>
            </w:pPr>
            <w:r>
              <w:rPr>
                <w:rFonts w:hint="eastAsia" w:eastAsia="仿宋_GB2312" w:cs="宋体"/>
                <w:color w:val="0070C0"/>
                <w:spacing w:val="0"/>
                <w:kern w:val="0"/>
                <w:sz w:val="28"/>
                <w:szCs w:val="32"/>
              </w:rPr>
              <w:t>Workers</w:t>
            </w:r>
          </w:p>
          <w:p w14:paraId="28A06DD6">
            <w:pPr>
              <w:widowControl/>
              <w:spacing w:before="98" w:line="520" w:lineRule="exact"/>
              <w:ind w:left="544"/>
              <w:jc w:val="center"/>
              <w:rPr>
                <w:rFonts w:hint="eastAsia" w:eastAsia="仿宋_GB2312" w:cs="宋体"/>
                <w:color w:val="0070C0"/>
                <w:kern w:val="0"/>
                <w:sz w:val="28"/>
                <w:szCs w:val="32"/>
              </w:rPr>
            </w:pPr>
            <w:r>
              <w:rPr>
                <w:rFonts w:hint="eastAsia" w:eastAsia="仿宋_GB2312" w:cs="宋体"/>
                <w:color w:val="0070C0"/>
                <w:spacing w:val="0"/>
                <w:kern w:val="0"/>
                <w:sz w:val="28"/>
                <w:szCs w:val="32"/>
              </w:rPr>
              <w:t>Compensation and</w:t>
            </w:r>
            <w:r>
              <w:rPr>
                <w:rFonts w:hint="eastAsia" w:eastAsia="仿宋_GB2312" w:cs="宋体"/>
                <w:color w:val="0070C0"/>
                <w:spacing w:val="0"/>
                <w:kern w:val="0"/>
                <w:sz w:val="28"/>
                <w:szCs w:val="32"/>
                <w:lang w:val="en-US" w:eastAsia="zh-CN"/>
              </w:rPr>
              <w:t xml:space="preserve"> </w:t>
            </w:r>
            <w:r>
              <w:rPr>
                <w:rFonts w:hint="eastAsia" w:eastAsia="仿宋_GB2312" w:cs="宋体"/>
                <w:color w:val="0070C0"/>
                <w:spacing w:val="0"/>
                <w:kern w:val="0"/>
                <w:sz w:val="28"/>
                <w:szCs w:val="32"/>
              </w:rPr>
              <w:t>Employers</w:t>
            </w:r>
          </w:p>
          <w:p w14:paraId="166E544D">
            <w:pPr>
              <w:widowControl/>
              <w:spacing w:before="88" w:line="520" w:lineRule="exact"/>
              <w:ind w:left="544"/>
              <w:jc w:val="center"/>
              <w:rPr>
                <w:rFonts w:hint="eastAsia" w:eastAsia="仿宋_GB2312" w:cs="宋体"/>
                <w:color w:val="0070C0"/>
                <w:kern w:val="0"/>
                <w:sz w:val="28"/>
                <w:szCs w:val="32"/>
              </w:rPr>
            </w:pPr>
            <w:r>
              <w:rPr>
                <w:rFonts w:hint="eastAsia" w:eastAsia="仿宋_GB2312" w:cs="宋体"/>
                <w:color w:val="0070C0"/>
                <w:spacing w:val="0"/>
                <w:kern w:val="0"/>
                <w:sz w:val="28"/>
                <w:szCs w:val="32"/>
              </w:rPr>
              <w:t>Liability</w:t>
            </w:r>
          </w:p>
          <w:p w14:paraId="78A2F339">
            <w:pPr>
              <w:widowControl/>
              <w:spacing w:before="112" w:line="520" w:lineRule="exact"/>
              <w:ind w:left="594" w:leftChars="0"/>
              <w:jc w:val="center"/>
              <w:rPr>
                <w:rFonts w:hint="eastAsia" w:eastAsia="仿宋_GB2312" w:cs="宋体"/>
                <w:color w:val="0070C0"/>
                <w:kern w:val="0"/>
                <w:sz w:val="28"/>
                <w:szCs w:val="32"/>
              </w:rPr>
            </w:pPr>
            <w:r>
              <w:rPr>
                <w:rFonts w:hint="eastAsia" w:eastAsia="仿宋_GB2312" w:cs="宋体"/>
                <w:color w:val="0070C0"/>
                <w:spacing w:val="0"/>
                <w:kern w:val="0"/>
                <w:sz w:val="28"/>
                <w:szCs w:val="32"/>
              </w:rPr>
              <w:t>雇员赔偿险和雇主责任险</w:t>
            </w:r>
          </w:p>
        </w:tc>
        <w:tc>
          <w:tcPr>
            <w:tcW w:w="7371" w:type="dxa"/>
            <w:tcBorders>
              <w:top w:val="nil"/>
              <w:left w:val="nil"/>
              <w:bottom w:val="nil"/>
              <w:right w:val="single" w:color="auto" w:sz="4" w:space="0"/>
            </w:tcBorders>
            <w:noWrap w:val="0"/>
            <w:vAlign w:val="top"/>
          </w:tcPr>
          <w:p w14:paraId="0BA5BA22">
            <w:pPr>
              <w:widowControl/>
              <w:spacing w:before="83" w:line="520" w:lineRule="exact"/>
              <w:ind w:left="31" w:leftChars="0" w:right="896" w:rightChars="0" w:firstLineChars="0"/>
              <w:jc w:val="left"/>
              <w:rPr>
                <w:rFonts w:hint="eastAsia" w:eastAsia="仿宋_GB2312" w:cs="宋体"/>
                <w:color w:val="0070C0"/>
                <w:kern w:val="0"/>
                <w:sz w:val="28"/>
                <w:szCs w:val="32"/>
                <w:lang w:eastAsia="zh-CN"/>
              </w:rPr>
            </w:pPr>
            <w:r>
              <w:rPr>
                <w:rFonts w:hint="eastAsia" w:eastAsia="仿宋_GB2312" w:cs="宋体"/>
                <w:color w:val="0070C0"/>
                <w:kern w:val="0"/>
                <w:sz w:val="28"/>
                <w:szCs w:val="32"/>
              </w:rPr>
              <w:t>This coverage will include workers com</w:t>
            </w:r>
            <w:r>
              <w:rPr>
                <w:rFonts w:hint="eastAsia" w:eastAsia="仿宋_GB2312" w:cs="宋体"/>
                <w:color w:val="0070C0"/>
                <w:spacing w:val="0"/>
                <w:kern w:val="0"/>
                <w:sz w:val="28"/>
                <w:szCs w:val="32"/>
              </w:rPr>
              <w:t>pensation,temporary disability</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and other similar insurance required by the Laws of Vietnam.In addition,</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this coverage shall include a voluntary compensation and employers'</w:t>
            </w:r>
            <w:r>
              <w:rPr>
                <w:rFonts w:hint="eastAsia" w:eastAsia="仿宋_GB2312" w:cs="宋体"/>
                <w:color w:val="0070C0"/>
                <w:kern w:val="0"/>
                <w:sz w:val="28"/>
                <w:szCs w:val="32"/>
              </w:rPr>
              <w:t xml:space="preserve"> </w:t>
            </w:r>
            <w:r>
              <w:rPr>
                <w:rFonts w:hint="eastAsia" w:eastAsia="仿宋_GB2312" w:cs="宋体"/>
                <w:color w:val="0070C0"/>
                <w:spacing w:val="0"/>
                <w:kern w:val="0"/>
                <w:sz w:val="28"/>
                <w:szCs w:val="32"/>
              </w:rPr>
              <w:t>liability endorsement for employees not subject to the workers</w:t>
            </w:r>
            <w:r>
              <w:rPr>
                <w:rFonts w:hint="eastAsia" w:eastAsia="仿宋_GB2312" w:cs="宋体"/>
                <w:color w:val="0070C0"/>
                <w:spacing w:val="0"/>
                <w:kern w:val="0"/>
                <w:sz w:val="28"/>
                <w:szCs w:val="32"/>
                <w:lang w:val="en-US" w:eastAsia="zh-CN"/>
              </w:rPr>
              <w:t xml:space="preserve"> </w:t>
            </w:r>
            <w:r>
              <w:rPr>
                <w:rFonts w:hint="eastAsia" w:eastAsia="仿宋_GB2312" w:cs="宋体"/>
                <w:color w:val="0070C0"/>
                <w:spacing w:val="0"/>
                <w:kern w:val="0"/>
                <w:sz w:val="28"/>
                <w:szCs w:val="32"/>
              </w:rPr>
              <w:t>compensation laws</w:t>
            </w:r>
            <w:r>
              <w:rPr>
                <w:rFonts w:hint="eastAsia" w:eastAsia="仿宋_GB2312" w:cs="宋体"/>
                <w:color w:val="0070C0"/>
                <w:spacing w:val="0"/>
                <w:kern w:val="0"/>
                <w:sz w:val="28"/>
                <w:szCs w:val="32"/>
                <w:lang w:val="en-US" w:eastAsia="zh-CN"/>
              </w:rPr>
              <w:t>.</w:t>
            </w:r>
            <w:r>
              <w:rPr>
                <w:rFonts w:hint="eastAsia" w:eastAsia="仿宋_GB2312" w:cs="宋体"/>
                <w:color w:val="0070C0"/>
                <w:kern w:val="0"/>
                <w:sz w:val="28"/>
                <w:szCs w:val="32"/>
              </w:rPr>
              <w:t>本保险范围将包括越南法律要求的工伤保险、临时伤残保险及其他类似保险。此外，本保险范围还应包括针对不受工伤保险法律约束的员工的自愿赔偿及雇主责任附加险</w:t>
            </w:r>
            <w:r>
              <w:rPr>
                <w:rFonts w:hint="eastAsia" w:eastAsia="仿宋_GB2312" w:cs="宋体"/>
                <w:color w:val="0070C0"/>
                <w:kern w:val="0"/>
                <w:sz w:val="28"/>
                <w:szCs w:val="32"/>
                <w:lang w:eastAsia="zh-CN"/>
              </w:rPr>
              <w:t>。</w:t>
            </w:r>
          </w:p>
        </w:tc>
      </w:tr>
      <w:tr w14:paraId="0ECC6F69">
        <w:tblPrEx>
          <w:tblCellMar>
            <w:top w:w="0" w:type="dxa"/>
            <w:left w:w="108" w:type="dxa"/>
            <w:bottom w:w="0" w:type="dxa"/>
            <w:right w:w="108" w:type="dxa"/>
          </w:tblCellMar>
        </w:tblPrEx>
        <w:trPr>
          <w:trHeight w:val="1290" w:hRule="atLeast"/>
        </w:trPr>
        <w:tc>
          <w:tcPr>
            <w:tcW w:w="2127" w:type="dxa"/>
            <w:tcBorders>
              <w:top w:val="nil"/>
              <w:left w:val="single" w:color="auto" w:sz="4" w:space="0"/>
              <w:bottom w:val="single" w:color="auto" w:sz="4" w:space="0"/>
              <w:right w:val="single" w:color="auto" w:sz="4" w:space="0"/>
            </w:tcBorders>
            <w:noWrap/>
            <w:vAlign w:val="top"/>
          </w:tcPr>
          <w:p w14:paraId="1B7D08B3">
            <w:pPr>
              <w:widowControl/>
              <w:spacing w:before="197" w:line="520" w:lineRule="exact"/>
              <w:ind w:left="793" w:leftChars="0" w:right="349" w:rightChars="0" w:firstLineChars="0"/>
              <w:jc w:val="left"/>
              <w:rPr>
                <w:rFonts w:hint="eastAsia" w:eastAsia="仿宋_GB2312" w:cs="宋体"/>
                <w:color w:val="0070C0"/>
                <w:kern w:val="0"/>
                <w:sz w:val="28"/>
                <w:szCs w:val="32"/>
              </w:rPr>
            </w:pPr>
            <w:r>
              <w:rPr>
                <w:rFonts w:hint="eastAsia" w:eastAsia="仿宋_GB2312" w:cs="宋体"/>
                <w:color w:val="0070C0"/>
                <w:spacing w:val="0"/>
                <w:kern w:val="0"/>
                <w:sz w:val="28"/>
                <w:szCs w:val="32"/>
              </w:rPr>
              <w:t>Miscellaneous 其他</w:t>
            </w:r>
          </w:p>
        </w:tc>
        <w:tc>
          <w:tcPr>
            <w:tcW w:w="7371" w:type="dxa"/>
            <w:tcBorders>
              <w:top w:val="nil"/>
              <w:left w:val="nil"/>
              <w:bottom w:val="single" w:color="auto" w:sz="4" w:space="0"/>
              <w:right w:val="single" w:color="auto" w:sz="4" w:space="0"/>
            </w:tcBorders>
            <w:noWrap w:val="0"/>
            <w:vAlign w:val="top"/>
          </w:tcPr>
          <w:p w14:paraId="3C917B1F">
            <w:pPr>
              <w:widowControl/>
              <w:spacing w:before="121" w:line="520" w:lineRule="exact"/>
              <w:ind w:left="31" w:leftChars="0" w:right="155" w:rightChars="0"/>
              <w:jc w:val="left"/>
              <w:rPr>
                <w:rFonts w:hint="eastAsia" w:eastAsia="仿宋_GB2312" w:cs="宋体"/>
                <w:color w:val="0070C0"/>
                <w:kern w:val="0"/>
                <w:sz w:val="28"/>
                <w:szCs w:val="32"/>
              </w:rPr>
            </w:pPr>
            <w:r>
              <w:rPr>
                <w:rFonts w:hint="eastAsia" w:eastAsia="仿宋_GB2312" w:cs="宋体"/>
                <w:color w:val="0070C0"/>
                <w:kern w:val="0"/>
                <w:sz w:val="28"/>
                <w:szCs w:val="32"/>
              </w:rPr>
              <w:t>Other</w:t>
            </w:r>
            <w:r>
              <w:rPr>
                <w:rFonts w:hint="eastAsia" w:eastAsia="仿宋_GB2312" w:cs="宋体"/>
                <w:color w:val="0070C0"/>
                <w:spacing w:val="0"/>
                <w:kern w:val="0"/>
                <w:sz w:val="28"/>
                <w:szCs w:val="32"/>
              </w:rPr>
              <w:t xml:space="preserve"> </w:t>
            </w:r>
            <w:r>
              <w:rPr>
                <w:rFonts w:hint="eastAsia" w:eastAsia="仿宋_GB2312" w:cs="宋体"/>
                <w:color w:val="0070C0"/>
                <w:kern w:val="0"/>
                <w:sz w:val="28"/>
                <w:szCs w:val="32"/>
              </w:rPr>
              <w:t>insurance policie</w:t>
            </w:r>
            <w:r>
              <w:rPr>
                <w:rFonts w:hint="eastAsia" w:eastAsia="仿宋_GB2312" w:cs="宋体"/>
                <w:color w:val="0070C0"/>
                <w:spacing w:val="0"/>
                <w:kern w:val="0"/>
                <w:sz w:val="28"/>
                <w:szCs w:val="32"/>
              </w:rPr>
              <w:t>s which are required by the Laws of Vietnam.</w:t>
            </w:r>
            <w:r>
              <w:rPr>
                <w:rFonts w:hint="eastAsia" w:eastAsia="仿宋_GB2312" w:cs="宋体"/>
                <w:color w:val="0070C0"/>
                <w:kern w:val="0"/>
                <w:sz w:val="28"/>
                <w:szCs w:val="32"/>
              </w:rPr>
              <w:t xml:space="preserve"> 越南法律规定的</w:t>
            </w:r>
            <w:r>
              <w:rPr>
                <w:rFonts w:hint="eastAsia" w:eastAsia="仿宋_GB2312" w:cs="宋体"/>
                <w:color w:val="0070C0"/>
                <w:kern w:val="0"/>
                <w:sz w:val="28"/>
                <w:szCs w:val="32"/>
                <w:lang w:val="en-US" w:eastAsia="zh-CN"/>
              </w:rPr>
              <w:t>其他</w:t>
            </w:r>
            <w:r>
              <w:rPr>
                <w:rFonts w:hint="eastAsia" w:eastAsia="仿宋_GB2312" w:cs="宋体"/>
                <w:color w:val="0070C0"/>
                <w:kern w:val="0"/>
                <w:sz w:val="28"/>
                <w:szCs w:val="32"/>
              </w:rPr>
              <w:t>保险。</w:t>
            </w:r>
          </w:p>
        </w:tc>
      </w:tr>
    </w:tbl>
    <w:p w14:paraId="4AD6913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hAnsi="宋体" w:eastAsia="宋体" w:cs="宋体"/>
          <w:b w:val="0"/>
          <w:bCs w:val="0"/>
          <w:color w:val="0070C0"/>
          <w:sz w:val="28"/>
          <w:szCs w:val="28"/>
          <w:lang w:val="en-US" w:eastAsia="zh-CN"/>
        </w:rPr>
      </w:pPr>
      <w:r>
        <w:rPr>
          <w:rFonts w:hint="eastAsia" w:ascii="宋体" w:hAnsi="宋体" w:eastAsia="宋体" w:cs="宋体"/>
          <w:b w:val="0"/>
          <w:bCs w:val="0"/>
          <w:color w:val="0070C0"/>
          <w:sz w:val="28"/>
          <w:szCs w:val="28"/>
          <w:lang w:val="en-US" w:eastAsia="zh-CN"/>
        </w:rPr>
        <w:t>（2）</w:t>
      </w:r>
      <w:r>
        <w:rPr>
          <w:rFonts w:hint="eastAsia" w:ascii="宋体" w:hAnsi="宋体" w:eastAsia="宋体" w:cs="宋体"/>
          <w:b w:val="0"/>
          <w:bCs w:val="0"/>
          <w:color w:val="0070C0"/>
          <w:sz w:val="28"/>
          <w:szCs w:val="28"/>
        </w:rPr>
        <w:t>融资文件规定的运营期保险承保范围</w:t>
      </w:r>
    </w:p>
    <w:tbl>
      <w:tblPr>
        <w:tblStyle w:val="4"/>
        <w:tblW w:w="9639" w:type="dxa"/>
        <w:tblInd w:w="-459" w:type="dxa"/>
        <w:tblLayout w:type="fixed"/>
        <w:tblCellMar>
          <w:top w:w="0" w:type="dxa"/>
          <w:left w:w="108" w:type="dxa"/>
          <w:bottom w:w="0" w:type="dxa"/>
          <w:right w:w="108" w:type="dxa"/>
        </w:tblCellMar>
      </w:tblPr>
      <w:tblGrid>
        <w:gridCol w:w="2127"/>
        <w:gridCol w:w="7512"/>
      </w:tblGrid>
      <w:tr w14:paraId="690F7F9C">
        <w:tblPrEx>
          <w:tblCellMar>
            <w:top w:w="0" w:type="dxa"/>
            <w:left w:w="108" w:type="dxa"/>
            <w:bottom w:w="0" w:type="dxa"/>
            <w:right w:w="108" w:type="dxa"/>
          </w:tblCellMar>
        </w:tblPrEx>
        <w:trPr>
          <w:trHeight w:val="624" w:hRule="atLeast"/>
        </w:trPr>
        <w:tc>
          <w:tcPr>
            <w:tcW w:w="2127" w:type="dxa"/>
            <w:tcBorders>
              <w:top w:val="single" w:color="auto" w:sz="4" w:space="0"/>
              <w:left w:val="single" w:color="auto" w:sz="4" w:space="0"/>
              <w:bottom w:val="single" w:color="auto" w:sz="4" w:space="0"/>
              <w:right w:val="single" w:color="auto" w:sz="4" w:space="0"/>
            </w:tcBorders>
            <w:noWrap/>
            <w:vAlign w:val="center"/>
          </w:tcPr>
          <w:p w14:paraId="25C26AB2">
            <w:pPr>
              <w:widowControl/>
              <w:spacing w:line="520" w:lineRule="exact"/>
              <w:jc w:val="center"/>
              <w:rPr>
                <w:rFonts w:hint="eastAsia" w:eastAsia="仿宋_GB2312" w:cs="宋体"/>
                <w:b w:val="0"/>
                <w:bCs w:val="0"/>
                <w:color w:val="0070C0"/>
                <w:kern w:val="0"/>
                <w:sz w:val="28"/>
                <w:szCs w:val="32"/>
              </w:rPr>
            </w:pPr>
            <w:r>
              <w:rPr>
                <w:rFonts w:hint="eastAsia" w:eastAsia="仿宋_GB2312" w:cs="宋体"/>
                <w:b w:val="0"/>
                <w:bCs w:val="0"/>
                <w:color w:val="0070C0"/>
                <w:kern w:val="0"/>
                <w:sz w:val="28"/>
                <w:szCs w:val="32"/>
              </w:rPr>
              <w:t>保险种类</w:t>
            </w:r>
          </w:p>
        </w:tc>
        <w:tc>
          <w:tcPr>
            <w:tcW w:w="7512" w:type="dxa"/>
            <w:tcBorders>
              <w:top w:val="single" w:color="auto" w:sz="4" w:space="0"/>
              <w:left w:val="nil"/>
              <w:bottom w:val="single" w:color="auto" w:sz="4" w:space="0"/>
              <w:right w:val="single" w:color="auto" w:sz="4" w:space="0"/>
            </w:tcBorders>
            <w:noWrap/>
            <w:vAlign w:val="center"/>
          </w:tcPr>
          <w:p w14:paraId="0A8C6728">
            <w:pPr>
              <w:widowControl/>
              <w:spacing w:line="520" w:lineRule="exact"/>
              <w:jc w:val="center"/>
              <w:rPr>
                <w:rFonts w:hint="eastAsia" w:eastAsia="仿宋_GB2312" w:cs="宋体"/>
                <w:b w:val="0"/>
                <w:bCs w:val="0"/>
                <w:color w:val="0070C0"/>
                <w:kern w:val="0"/>
                <w:sz w:val="28"/>
                <w:szCs w:val="32"/>
              </w:rPr>
            </w:pPr>
            <w:r>
              <w:rPr>
                <w:rFonts w:hint="eastAsia" w:eastAsia="仿宋_GB2312" w:cs="宋体"/>
                <w:b w:val="0"/>
                <w:bCs w:val="0"/>
                <w:color w:val="0070C0"/>
                <w:kern w:val="0"/>
                <w:sz w:val="28"/>
                <w:szCs w:val="32"/>
              </w:rPr>
              <w:t>承保范围</w:t>
            </w:r>
          </w:p>
        </w:tc>
      </w:tr>
      <w:tr w14:paraId="6C6F5F77">
        <w:tblPrEx>
          <w:tblCellMar>
            <w:top w:w="0" w:type="dxa"/>
            <w:left w:w="108" w:type="dxa"/>
            <w:bottom w:w="0" w:type="dxa"/>
            <w:right w:w="108" w:type="dxa"/>
          </w:tblCellMar>
        </w:tblPrEx>
        <w:trPr>
          <w:trHeight w:val="1455" w:hRule="atLeast"/>
        </w:trPr>
        <w:tc>
          <w:tcPr>
            <w:tcW w:w="2127" w:type="dxa"/>
            <w:tcBorders>
              <w:top w:val="nil"/>
              <w:left w:val="single" w:color="auto" w:sz="4" w:space="0"/>
              <w:bottom w:val="single" w:color="auto" w:sz="4" w:space="0"/>
              <w:right w:val="single" w:color="auto" w:sz="4" w:space="0"/>
            </w:tcBorders>
            <w:noWrap/>
            <w:vAlign w:val="center"/>
          </w:tcPr>
          <w:p w14:paraId="38535ED5">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Property Damage</w:t>
            </w:r>
          </w:p>
          <w:p w14:paraId="0410A9A3">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‘All Risks' Including</w:t>
            </w:r>
          </w:p>
          <w:p w14:paraId="0FDDF23C">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Machinery</w:t>
            </w:r>
          </w:p>
          <w:p w14:paraId="38561B8A">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 xml:space="preserve">Breakdown </w:t>
            </w:r>
          </w:p>
          <w:p w14:paraId="2436C6A9">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财产一切险（含机器损毁险）</w:t>
            </w:r>
          </w:p>
        </w:tc>
        <w:tc>
          <w:tcPr>
            <w:tcW w:w="7512" w:type="dxa"/>
            <w:tcBorders>
              <w:top w:val="nil"/>
              <w:left w:val="nil"/>
              <w:bottom w:val="single" w:color="auto" w:sz="4" w:space="0"/>
              <w:right w:val="single" w:color="auto" w:sz="4" w:space="0"/>
            </w:tcBorders>
            <w:noWrap w:val="0"/>
            <w:vAlign w:val="center"/>
          </w:tcPr>
          <w:p w14:paraId="333F706E">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To cover physical loss or damage to buildings,contents,facilities.  machinery,equipment,stock,fixtures,fittings and all other real and  personal property forming part of the Project or for which any Insured is  responsible against all risks.Minimum sum insures an amount equal to  the full replacement value of the Project Facilities.Maximum deductible  amount is 2 million USD.包括物质损失或构成项目一部分的建筑物、内部物体、设施、机械、设备、存货、装置、配件及其他不动产和个人财产，或被保险人有责任对其承担全部风险的物质损失或构成项目一部分的建筑物、内部物体、设施、机械、设备、存货、装置、配件及其他不动产和个人财产。</w:t>
            </w:r>
            <w:r>
              <w:rPr>
                <w:rFonts w:hint="eastAsia" w:eastAsia="仿宋_GB2312" w:cs="宋体"/>
                <w:color w:val="0070C0"/>
                <w:kern w:val="0"/>
                <w:sz w:val="28"/>
                <w:szCs w:val="32"/>
                <w:lang w:val="en-US" w:eastAsia="zh-CN"/>
              </w:rPr>
              <w:t>最低保险</w:t>
            </w:r>
            <w:r>
              <w:rPr>
                <w:rFonts w:hint="eastAsia" w:eastAsia="仿宋_GB2312" w:cs="宋体"/>
                <w:color w:val="0070C0"/>
                <w:kern w:val="0"/>
                <w:sz w:val="28"/>
                <w:szCs w:val="32"/>
              </w:rPr>
              <w:t>金额等于该项目设施的全部重置价值。最大免赔额200万美元。</w:t>
            </w:r>
          </w:p>
        </w:tc>
      </w:tr>
      <w:tr w14:paraId="34BC6D3F">
        <w:tblPrEx>
          <w:tblCellMar>
            <w:top w:w="0" w:type="dxa"/>
            <w:left w:w="108" w:type="dxa"/>
            <w:bottom w:w="0" w:type="dxa"/>
            <w:right w:w="108" w:type="dxa"/>
          </w:tblCellMar>
        </w:tblPrEx>
        <w:trPr>
          <w:trHeight w:val="1410" w:hRule="atLeast"/>
        </w:trPr>
        <w:tc>
          <w:tcPr>
            <w:tcW w:w="2127" w:type="dxa"/>
            <w:tcBorders>
              <w:top w:val="nil"/>
              <w:left w:val="single" w:color="auto" w:sz="4" w:space="0"/>
              <w:bottom w:val="single" w:color="auto" w:sz="4" w:space="0"/>
              <w:right w:val="single" w:color="auto" w:sz="4" w:space="0"/>
            </w:tcBorders>
            <w:noWrap/>
            <w:vAlign w:val="center"/>
          </w:tcPr>
          <w:p w14:paraId="34A18EFF">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Business Loss</w:t>
            </w:r>
          </w:p>
          <w:p w14:paraId="34C57BED">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Insurance under</w:t>
            </w:r>
          </w:p>
          <w:p w14:paraId="61E379AB">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Property Damage</w:t>
            </w:r>
          </w:p>
          <w:p w14:paraId="1104E3C5">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All Risks Insurance</w:t>
            </w:r>
          </w:p>
          <w:p w14:paraId="3D0D923B">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(Including</w:t>
            </w:r>
          </w:p>
          <w:p w14:paraId="360B3E22">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Machinery</w:t>
            </w:r>
          </w:p>
          <w:p w14:paraId="152082C6">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Breakdown)</w:t>
            </w:r>
          </w:p>
          <w:p w14:paraId="53DC1F51">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财产一切险项下的营业损失险（含机器损毁险项下的损失险）</w:t>
            </w:r>
          </w:p>
        </w:tc>
        <w:tc>
          <w:tcPr>
            <w:tcW w:w="7512" w:type="dxa"/>
            <w:tcBorders>
              <w:top w:val="nil"/>
              <w:left w:val="nil"/>
              <w:bottom w:val="single" w:color="auto" w:sz="4" w:space="0"/>
              <w:right w:val="single" w:color="auto" w:sz="4" w:space="0"/>
            </w:tcBorders>
            <w:noWrap w:val="0"/>
            <w:vAlign w:val="center"/>
          </w:tcPr>
          <w:p w14:paraId="1A0B5922">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To cover loss of revenue(including any consequential payment</w:t>
            </w:r>
          </w:p>
          <w:p w14:paraId="64D76DAE">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obligations of the Company)due to loss of capacity or loss of output as a direct consequence of loss of or damage to the Project Facilities and caused by a peril insured under Property Damage All Risks Insurance. Minimum insured sum should be an amount sufficient to cover fixed costs for the indemnity period.本保险承保因 “财产一切险” 保单所承保的风险导致项目设施发生损失或损坏，进而直接造成产能损失或产量损失，由此产生的收入损失（包括</w:t>
            </w:r>
            <w:r>
              <w:rPr>
                <w:rFonts w:hint="eastAsia" w:eastAsia="仿宋_GB2312" w:cs="宋体"/>
                <w:color w:val="0070C0"/>
                <w:kern w:val="0"/>
                <w:sz w:val="28"/>
                <w:szCs w:val="32"/>
                <w:lang w:val="en-US" w:eastAsia="zh-CN"/>
              </w:rPr>
              <w:t>项目</w:t>
            </w:r>
            <w:r>
              <w:rPr>
                <w:rFonts w:hint="eastAsia" w:eastAsia="仿宋_GB2312" w:cs="宋体"/>
                <w:color w:val="0070C0"/>
                <w:kern w:val="0"/>
                <w:sz w:val="28"/>
                <w:szCs w:val="32"/>
              </w:rPr>
              <w:t>公司因此产生的任何相应付款义务）。最低保险金额应为足以支付赔偿期内固定成本的金额。</w:t>
            </w:r>
          </w:p>
        </w:tc>
      </w:tr>
      <w:tr w14:paraId="098A7025">
        <w:tblPrEx>
          <w:tblCellMar>
            <w:top w:w="0" w:type="dxa"/>
            <w:left w:w="108" w:type="dxa"/>
            <w:bottom w:w="0" w:type="dxa"/>
            <w:right w:w="108" w:type="dxa"/>
          </w:tblCellMar>
        </w:tblPrEx>
        <w:trPr>
          <w:trHeight w:val="699" w:hRule="atLeast"/>
        </w:trPr>
        <w:tc>
          <w:tcPr>
            <w:tcW w:w="2127" w:type="dxa"/>
            <w:tcBorders>
              <w:top w:val="nil"/>
              <w:left w:val="single" w:color="auto" w:sz="4" w:space="0"/>
              <w:bottom w:val="single" w:color="auto" w:sz="4" w:space="0"/>
              <w:right w:val="single" w:color="auto" w:sz="4" w:space="0"/>
            </w:tcBorders>
            <w:noWrap/>
            <w:vAlign w:val="center"/>
          </w:tcPr>
          <w:p w14:paraId="77395360">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Minimum Cover货物运输险</w:t>
            </w:r>
          </w:p>
        </w:tc>
        <w:tc>
          <w:tcPr>
            <w:tcW w:w="7512" w:type="dxa"/>
            <w:tcBorders>
              <w:top w:val="nil"/>
              <w:left w:val="nil"/>
              <w:bottom w:val="single" w:color="auto" w:sz="4" w:space="0"/>
              <w:right w:val="single" w:color="auto" w:sz="4" w:space="0"/>
            </w:tcBorders>
            <w:noWrap w:val="0"/>
            <w:vAlign w:val="center"/>
          </w:tcPr>
          <w:p w14:paraId="5180D23A">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To cover physical lossor damage to coal after the coal is loaded on board of a vessel at the loading port and while at transit by sea to the Site.The</w:t>
            </w:r>
            <w:r>
              <w:rPr>
                <w:rFonts w:hint="eastAsia" w:eastAsia="仿宋_GB2312" w:cs="宋体"/>
                <w:color w:val="0070C0"/>
                <w:kern w:val="0"/>
                <w:sz w:val="28"/>
                <w:szCs w:val="32"/>
                <w:lang w:val="en-US" w:eastAsia="zh-CN"/>
              </w:rPr>
              <w:t xml:space="preserve"> </w:t>
            </w:r>
            <w:r>
              <w:rPr>
                <w:rFonts w:hint="eastAsia" w:eastAsia="仿宋_GB2312" w:cs="宋体"/>
                <w:color w:val="0070C0"/>
                <w:kern w:val="0"/>
                <w:sz w:val="28"/>
                <w:szCs w:val="32"/>
              </w:rPr>
              <w:t>insured sum is landed value of goods and floating 10%.Maximum Deductible is 50,000 USD any one occurrence.本保险承保煤炭在装货港装上船舶后以及经海路运输至项目现场期间发生的物质损失或损坏。保险金额为货物的到岸价值并上浮10%。最高免赔额为单次损失/5万美元。</w:t>
            </w:r>
          </w:p>
        </w:tc>
      </w:tr>
      <w:tr w14:paraId="510D8F7E">
        <w:tblPrEx>
          <w:tblCellMar>
            <w:top w:w="0" w:type="dxa"/>
            <w:left w:w="108" w:type="dxa"/>
            <w:bottom w:w="0" w:type="dxa"/>
            <w:right w:w="108" w:type="dxa"/>
          </w:tblCellMar>
        </w:tblPrEx>
        <w:trPr>
          <w:trHeight w:val="1290" w:hRule="atLeast"/>
        </w:trPr>
        <w:tc>
          <w:tcPr>
            <w:tcW w:w="2127" w:type="dxa"/>
            <w:tcBorders>
              <w:top w:val="nil"/>
              <w:left w:val="single" w:color="auto" w:sz="4" w:space="0"/>
              <w:bottom w:val="single" w:color="auto" w:sz="4" w:space="0"/>
              <w:right w:val="single" w:color="auto" w:sz="4" w:space="0"/>
            </w:tcBorders>
            <w:noWrap/>
            <w:vAlign w:val="center"/>
          </w:tcPr>
          <w:p w14:paraId="2843C722">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Commercial/</w:t>
            </w:r>
          </w:p>
          <w:p w14:paraId="4C762356">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General Liability商业综合责任险</w:t>
            </w:r>
          </w:p>
        </w:tc>
        <w:tc>
          <w:tcPr>
            <w:tcW w:w="7512" w:type="dxa"/>
            <w:tcBorders>
              <w:top w:val="nil"/>
              <w:left w:val="nil"/>
              <w:bottom w:val="single" w:color="auto" w:sz="4" w:space="0"/>
              <w:right w:val="single" w:color="auto" w:sz="4" w:space="0"/>
            </w:tcBorders>
            <w:noWrap w:val="0"/>
            <w:vAlign w:val="center"/>
          </w:tcPr>
          <w:p w14:paraId="38B9D3EF">
            <w:pPr>
              <w:widowControl/>
              <w:spacing w:line="520" w:lineRule="exact"/>
              <w:jc w:val="left"/>
              <w:rPr>
                <w:rFonts w:hint="eastAsia" w:eastAsia="仿宋_GB2312" w:cs="宋体"/>
                <w:color w:val="0070C0"/>
                <w:kern w:val="0"/>
                <w:sz w:val="28"/>
                <w:szCs w:val="32"/>
              </w:rPr>
            </w:pPr>
            <w:r>
              <w:rPr>
                <w:rFonts w:hint="eastAsia" w:eastAsia="仿宋_GB2312" w:cs="宋体"/>
                <w:color w:val="0070C0"/>
                <w:kern w:val="0"/>
                <w:sz w:val="28"/>
                <w:szCs w:val="32"/>
              </w:rPr>
              <w:t>The Insured's legal liability in respect of bodily injury and property damage occurring during the period arising out of or in connection with the operation of the Project including the supply of products.Minimum Sum insures 20,000,000 USD any one occurrence.本保险承保被保险人在保险期间内，因项目运营（包括产品供应）引发或与之相关的人身伤害和财产损失所承担的法律责任。最小投保额为单次事故 /2000万美元。</w:t>
            </w:r>
          </w:p>
        </w:tc>
      </w:tr>
      <w:tr w14:paraId="0D7F91F9">
        <w:tblPrEx>
          <w:tblCellMar>
            <w:top w:w="0" w:type="dxa"/>
            <w:left w:w="108" w:type="dxa"/>
            <w:bottom w:w="0" w:type="dxa"/>
            <w:right w:w="108" w:type="dxa"/>
          </w:tblCellMar>
        </w:tblPrEx>
        <w:trPr>
          <w:trHeight w:val="1754" w:hRule="atLeast"/>
        </w:trPr>
        <w:tc>
          <w:tcPr>
            <w:tcW w:w="2127" w:type="dxa"/>
            <w:tcBorders>
              <w:top w:val="nil"/>
              <w:left w:val="single" w:color="auto" w:sz="4" w:space="0"/>
              <w:bottom w:val="single" w:color="auto" w:sz="4" w:space="0"/>
              <w:right w:val="single" w:color="auto" w:sz="4" w:space="0"/>
            </w:tcBorders>
            <w:noWrap/>
            <w:vAlign w:val="center"/>
          </w:tcPr>
          <w:p w14:paraId="54EEF540">
            <w:pPr>
              <w:widowControl/>
              <w:spacing w:line="520" w:lineRule="exact"/>
              <w:jc w:val="center"/>
              <w:rPr>
                <w:rFonts w:hint="eastAsia" w:eastAsia="仿宋_GB2312" w:cs="宋体"/>
                <w:color w:val="0070C0"/>
                <w:kern w:val="0"/>
                <w:sz w:val="28"/>
                <w:szCs w:val="32"/>
              </w:rPr>
            </w:pPr>
            <w:r>
              <w:rPr>
                <w:rFonts w:hint="eastAsia" w:eastAsia="仿宋_GB2312" w:cs="宋体"/>
                <w:color w:val="0070C0"/>
                <w:kern w:val="0"/>
                <w:sz w:val="28"/>
                <w:szCs w:val="32"/>
              </w:rPr>
              <w:t>Miscellaneous其他保险</w:t>
            </w:r>
          </w:p>
        </w:tc>
        <w:tc>
          <w:tcPr>
            <w:tcW w:w="7512" w:type="dxa"/>
            <w:tcBorders>
              <w:top w:val="nil"/>
              <w:left w:val="nil"/>
              <w:bottom w:val="single" w:color="auto" w:sz="4" w:space="0"/>
              <w:right w:val="single" w:color="auto" w:sz="4" w:space="0"/>
            </w:tcBorders>
            <w:noWrap/>
            <w:vAlign w:val="center"/>
          </w:tcPr>
          <w:p w14:paraId="43A23BED">
            <w:pPr>
              <w:widowControl/>
              <w:spacing w:line="520" w:lineRule="exact"/>
              <w:rPr>
                <w:rFonts w:hint="eastAsia" w:eastAsia="仿宋_GB2312" w:cs="宋体"/>
                <w:color w:val="0070C0"/>
                <w:kern w:val="0"/>
                <w:sz w:val="28"/>
                <w:szCs w:val="32"/>
              </w:rPr>
            </w:pPr>
            <w:r>
              <w:rPr>
                <w:rFonts w:hint="eastAsia" w:eastAsia="仿宋_GB2312" w:cs="宋体"/>
                <w:color w:val="0070C0"/>
                <w:kern w:val="0"/>
                <w:sz w:val="28"/>
                <w:szCs w:val="32"/>
              </w:rPr>
              <w:t>This coverage will include workers'compensation,temporary disability.voluntary</w:t>
            </w:r>
            <w:r>
              <w:rPr>
                <w:rFonts w:hint="eastAsia" w:eastAsia="仿宋_GB2312" w:cs="宋体"/>
                <w:color w:val="0070C0"/>
                <w:kern w:val="0"/>
                <w:sz w:val="28"/>
                <w:szCs w:val="32"/>
                <w:lang w:val="en-US" w:eastAsia="zh-CN"/>
              </w:rPr>
              <w:t xml:space="preserve"> </w:t>
            </w:r>
            <w:r>
              <w:rPr>
                <w:rFonts w:hint="eastAsia" w:eastAsia="仿宋_GB2312" w:cs="宋体"/>
                <w:color w:val="0070C0"/>
                <w:kern w:val="0"/>
                <w:sz w:val="28"/>
                <w:szCs w:val="32"/>
              </w:rPr>
              <w:t>compensation</w:t>
            </w:r>
            <w:r>
              <w:rPr>
                <w:rFonts w:hint="eastAsia" w:eastAsia="仿宋_GB2312" w:cs="宋体"/>
                <w:color w:val="0070C0"/>
                <w:kern w:val="0"/>
                <w:sz w:val="28"/>
                <w:szCs w:val="32"/>
                <w:lang w:val="en-US" w:eastAsia="zh-CN"/>
              </w:rPr>
              <w:t xml:space="preserve"> </w:t>
            </w:r>
            <w:r>
              <w:rPr>
                <w:rFonts w:hint="eastAsia" w:eastAsia="仿宋_GB2312" w:cs="宋体"/>
                <w:color w:val="0070C0"/>
                <w:kern w:val="0"/>
                <w:sz w:val="28"/>
                <w:szCs w:val="32"/>
              </w:rPr>
              <w:t>and employers</w:t>
            </w:r>
            <w:r>
              <w:rPr>
                <w:rFonts w:hint="default" w:eastAsia="仿宋_GB2312" w:cs="宋体"/>
                <w:color w:val="0070C0"/>
                <w:kern w:val="0"/>
                <w:sz w:val="28"/>
                <w:szCs w:val="32"/>
                <w:lang w:val="en-US" w:eastAsia="zh-CN"/>
              </w:rPr>
              <w:t>’</w:t>
            </w:r>
            <w:r>
              <w:rPr>
                <w:rFonts w:hint="eastAsia" w:eastAsia="仿宋_GB2312" w:cs="宋体"/>
                <w:color w:val="0070C0"/>
                <w:kern w:val="0"/>
                <w:sz w:val="28"/>
                <w:szCs w:val="32"/>
              </w:rPr>
              <w:t>liability endorsement for</w:t>
            </w:r>
            <w:r>
              <w:rPr>
                <w:rFonts w:hint="eastAsia" w:eastAsia="仿宋_GB2312" w:cs="宋体"/>
                <w:color w:val="0070C0"/>
                <w:kern w:val="0"/>
                <w:sz w:val="28"/>
                <w:szCs w:val="32"/>
                <w:lang w:val="en-US" w:eastAsia="zh-CN"/>
              </w:rPr>
              <w:t xml:space="preserve"> </w:t>
            </w:r>
            <w:r>
              <w:rPr>
                <w:rFonts w:hint="eastAsia" w:eastAsia="仿宋_GB2312" w:cs="宋体"/>
                <w:color w:val="0070C0"/>
                <w:kern w:val="0"/>
                <w:sz w:val="28"/>
                <w:szCs w:val="32"/>
              </w:rPr>
              <w:t>employees not subject to the workers compensation laws and other similar insurance required by the laws of Vietnam.Maximum deductible amount is 20,000 USD per occurrence.本保险范围将包括工伤保险、临时伤残保险、针对不受工伤保险法律约束的员工的自愿赔偿及雇主责任附加险，以及越南法律要求的其他类似保险。每次事故的最大免赔额为 20,000 美元。</w:t>
            </w:r>
          </w:p>
        </w:tc>
      </w:tr>
    </w:tbl>
    <w:p w14:paraId="0E4F7A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8"/>
          <w:szCs w:val="28"/>
          <w:lang w:val="en-US" w:eastAsia="zh-CN"/>
        </w:rPr>
      </w:pPr>
    </w:p>
    <w:p w14:paraId="21AAC57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560" w:leftChars="0"/>
        <w:jc w:val="right"/>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2025年8月14日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DD31A8"/>
    <w:multiLevelType w:val="singleLevel"/>
    <w:tmpl w:val="4BDD31A8"/>
    <w:lvl w:ilvl="0" w:tentative="0">
      <w:start w:val="1"/>
      <w:numFmt w:val="chineseCounting"/>
      <w:suff w:val="nothing"/>
      <w:lvlText w:val="%1、"/>
      <w:lvlJc w:val="left"/>
      <w:rPr>
        <w:rFonts w:hint="eastAsia"/>
      </w:rPr>
    </w:lvl>
  </w:abstractNum>
  <w:abstractNum w:abstractNumId="1">
    <w:nsid w:val="4EBD48B3"/>
    <w:multiLevelType w:val="singleLevel"/>
    <w:tmpl w:val="4EBD48B3"/>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1B24549"/>
    <w:rsid w:val="00E66107"/>
    <w:rsid w:val="01025A37"/>
    <w:rsid w:val="0334228B"/>
    <w:rsid w:val="038369CF"/>
    <w:rsid w:val="078758E5"/>
    <w:rsid w:val="09417AD1"/>
    <w:rsid w:val="0ADD11E0"/>
    <w:rsid w:val="0EFC3981"/>
    <w:rsid w:val="10F70AE6"/>
    <w:rsid w:val="113450C7"/>
    <w:rsid w:val="115E5F0B"/>
    <w:rsid w:val="11D413CD"/>
    <w:rsid w:val="13ED1A3D"/>
    <w:rsid w:val="143F1847"/>
    <w:rsid w:val="1761052C"/>
    <w:rsid w:val="17895AAB"/>
    <w:rsid w:val="182249A5"/>
    <w:rsid w:val="1A9B6333"/>
    <w:rsid w:val="1C23392F"/>
    <w:rsid w:val="1E1A0873"/>
    <w:rsid w:val="210202B6"/>
    <w:rsid w:val="21B24549"/>
    <w:rsid w:val="22ED6B5D"/>
    <w:rsid w:val="246918CD"/>
    <w:rsid w:val="254A1F6B"/>
    <w:rsid w:val="25A634D3"/>
    <w:rsid w:val="25D64022"/>
    <w:rsid w:val="27700540"/>
    <w:rsid w:val="27775150"/>
    <w:rsid w:val="287E0A6F"/>
    <w:rsid w:val="2AFB0A91"/>
    <w:rsid w:val="2B3F0281"/>
    <w:rsid w:val="2D992B50"/>
    <w:rsid w:val="2E9E448B"/>
    <w:rsid w:val="2EB86CA9"/>
    <w:rsid w:val="2EE00777"/>
    <w:rsid w:val="2FC132E8"/>
    <w:rsid w:val="30555D5A"/>
    <w:rsid w:val="30D5589B"/>
    <w:rsid w:val="34CC6115"/>
    <w:rsid w:val="35C22F7F"/>
    <w:rsid w:val="373E77F9"/>
    <w:rsid w:val="37A421DA"/>
    <w:rsid w:val="37B91CD8"/>
    <w:rsid w:val="38504871"/>
    <w:rsid w:val="3937007A"/>
    <w:rsid w:val="39AC5473"/>
    <w:rsid w:val="3AA316E4"/>
    <w:rsid w:val="3AD07C5F"/>
    <w:rsid w:val="3BBC5D4F"/>
    <w:rsid w:val="3D731AF2"/>
    <w:rsid w:val="3D9E2B74"/>
    <w:rsid w:val="3E4045AD"/>
    <w:rsid w:val="3E4C1343"/>
    <w:rsid w:val="40CD0D2C"/>
    <w:rsid w:val="44513222"/>
    <w:rsid w:val="449F0DA3"/>
    <w:rsid w:val="457D5DA5"/>
    <w:rsid w:val="45E43276"/>
    <w:rsid w:val="473467DE"/>
    <w:rsid w:val="47F44D07"/>
    <w:rsid w:val="48055425"/>
    <w:rsid w:val="499B5CD3"/>
    <w:rsid w:val="49E01A8F"/>
    <w:rsid w:val="4B013191"/>
    <w:rsid w:val="4BFC1FBA"/>
    <w:rsid w:val="4F2F2250"/>
    <w:rsid w:val="51081999"/>
    <w:rsid w:val="52096D27"/>
    <w:rsid w:val="52CF79E9"/>
    <w:rsid w:val="53845DBF"/>
    <w:rsid w:val="55882160"/>
    <w:rsid w:val="565E4742"/>
    <w:rsid w:val="58191195"/>
    <w:rsid w:val="5A7979FA"/>
    <w:rsid w:val="5B295DF3"/>
    <w:rsid w:val="5D6A3148"/>
    <w:rsid w:val="612B443D"/>
    <w:rsid w:val="61D76693"/>
    <w:rsid w:val="63D13281"/>
    <w:rsid w:val="6412273A"/>
    <w:rsid w:val="649E5BA1"/>
    <w:rsid w:val="65FC5ADD"/>
    <w:rsid w:val="685D7846"/>
    <w:rsid w:val="6893229E"/>
    <w:rsid w:val="6C481435"/>
    <w:rsid w:val="6CF33ACD"/>
    <w:rsid w:val="707E38C7"/>
    <w:rsid w:val="73DB45DD"/>
    <w:rsid w:val="745A55F3"/>
    <w:rsid w:val="747B4EFF"/>
    <w:rsid w:val="75DB5C1A"/>
    <w:rsid w:val="7603432A"/>
    <w:rsid w:val="76224BDE"/>
    <w:rsid w:val="77AA3761"/>
    <w:rsid w:val="79A90CA8"/>
    <w:rsid w:val="79AA6729"/>
    <w:rsid w:val="7A1E0C67"/>
    <w:rsid w:val="7DED2BA6"/>
    <w:rsid w:val="7EC1692D"/>
    <w:rsid w:val="7EC21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6">
    <w:name w:val="Table Text"/>
    <w:basedOn w:val="1"/>
    <w:semiHidden/>
    <w:qFormat/>
    <w:uiPriority w:val="0"/>
    <w:rPr>
      <w:rFonts w:ascii="宋体" w:hAnsi="宋体" w:eastAsia="宋体" w:cs="宋体"/>
      <w:sz w:val="20"/>
      <w:szCs w:val="20"/>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4028</Words>
  <Characters>7976</Characters>
  <Lines>0</Lines>
  <Paragraphs>0</Paragraphs>
  <TotalTime>8</TotalTime>
  <ScaleCrop>false</ScaleCrop>
  <LinksUpToDate>false</LinksUpToDate>
  <CharactersWithSpaces>8705</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2025-03-03T03:44:00Z</dcterms:created>
  <dc:creator>Grace</dc:creator>
  <cp:lastModifiedBy>王加杰</cp:lastModifiedBy>
  <dcterms:modified xsi:type="dcterms:W3CDTF">2025-08-14T10:16:33Z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CC5828315B27441A94F6FD478985B2BD_13</vt:lpwstr>
  </property>
  <property fmtid="{D5CDD505-2E9C-101B-9397-08002B2CF9AE}" pid="4" name="KSOTemplateDocerSaveRecord">
    <vt:lpwstr>eyJoZGlkIjoiYWY0M2JkOTdkMzdjYzA1MDZhYmQ3ZTQ4MjBlZjg5OTMiLCJ1c2VySWQiOiIyMjI5NDEwMjEifQ==</vt:lpwstr>
  </property>
</Properties>
</file>