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-930275</wp:posOffset>
            </wp:positionV>
            <wp:extent cx="7674610" cy="3157220"/>
            <wp:effectExtent l="0" t="0" r="635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7"/>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1052830</wp:posOffset>
            </wp:positionV>
            <wp:extent cx="3459480" cy="813435"/>
            <wp:effectExtent l="0" t="0" r="0" b="952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8"/>
                    <a:stretch>
                      <a:fillRect/>
                    </a:stretch>
                  </pic:blipFill>
                  <pic:spPr>
                    <a:xfrm>
                      <a:off x="0" y="0"/>
                      <a:ext cx="3459480" cy="813435"/>
                    </a:xfrm>
                    <a:prstGeom prst="rect">
                      <a:avLst/>
                    </a:prstGeom>
                    <a:noFill/>
                    <a:ln>
                      <a:noFill/>
                    </a:ln>
                  </pic:spPr>
                </pic:pic>
              </a:graphicData>
            </a:graphic>
          </wp:anchor>
        </w:drawing>
      </w:r>
    </w:p>
    <w:p>
      <w:pPr>
        <w:pStyle w:val="2"/>
      </w:pPr>
    </w:p>
    <w:p>
      <w:pPr>
        <w:pStyle w:val="2"/>
      </w:pPr>
    </w:p>
    <w:p>
      <w:pPr>
        <w:pStyle w:val="2"/>
      </w:pPr>
    </w:p>
    <w:p>
      <w:pPr>
        <w:pStyle w:val="2"/>
      </w:pPr>
    </w:p>
    <w:p>
      <w:pPr>
        <w:pStyle w:val="2"/>
      </w:pPr>
    </w:p>
    <w:p>
      <w:pPr>
        <w:pStyle w:val="2"/>
      </w:pPr>
    </w:p>
    <w:p>
      <w:pPr>
        <w:pStyle w:val="2"/>
      </w:pPr>
    </w:p>
    <w:p>
      <w:pPr>
        <w:pStyle w:val="2"/>
      </w:pPr>
    </w:p>
    <w:p>
      <w:pPr>
        <w:spacing w:line="360" w:lineRule="auto"/>
        <w:jc w:val="center"/>
        <w:rPr>
          <w:rFonts w:hint="eastAsia" w:ascii="宋体" w:hAnsi="宋体" w:cs="宋体"/>
          <w:sz w:val="36"/>
          <w:szCs w:val="36"/>
        </w:rPr>
      </w:pP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南方电网2025年第一批无人机设备及相关附件框架采购项目</w:t>
      </w: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技术规范书</w:t>
      </w:r>
    </w:p>
    <w:p>
      <w:pPr>
        <w:spacing w:before="624" w:beforeLines="200"/>
        <w:jc w:val="center"/>
        <w:rPr>
          <w:rFonts w:hint="eastAsia" w:ascii="宋体" w:hAnsi="宋体" w:eastAsia="微软雅黑" w:cs="宋体"/>
          <w:b/>
          <w:sz w:val="44"/>
          <w:szCs w:val="52"/>
        </w:rPr>
      </w:pPr>
      <w:r>
        <w:rPr>
          <w:rFonts w:hint="eastAsia" w:ascii="微软雅黑" w:hAnsi="微软雅黑" w:eastAsia="微软雅黑" w:cs="微软雅黑"/>
          <w:bCs/>
          <w:sz w:val="48"/>
          <w:szCs w:val="48"/>
        </w:rPr>
        <w:t>智能运维一体机(数据处理工作站)</w:t>
      </w:r>
    </w:p>
    <w:p>
      <w:pPr>
        <w:spacing w:line="360" w:lineRule="auto"/>
        <w:jc w:val="center"/>
        <w:rPr>
          <w:rFonts w:hint="eastAsia" w:ascii="宋体" w:hAnsi="宋体" w:cs="宋体"/>
          <w:b/>
          <w:sz w:val="30"/>
          <w:szCs w:val="30"/>
        </w:rPr>
      </w:pPr>
    </w:p>
    <w:p>
      <w:pPr>
        <w:spacing w:line="360" w:lineRule="auto"/>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rPr>
          <w:rFonts w:ascii="仿宋_GB2312" w:hAnsi="Times New Roman" w:eastAsia="仿宋_GB2312"/>
          <w:sz w:val="32"/>
          <w:szCs w:val="32"/>
        </w:rPr>
      </w:pPr>
    </w:p>
    <w:p>
      <w:pPr>
        <w:spacing w:line="360" w:lineRule="auto"/>
        <w:jc w:val="center"/>
        <w:rPr>
          <w:rFonts w:ascii="仿宋_GB2312" w:hAnsi="Times New Roman" w:eastAsia="仿宋_GB2312"/>
          <w:sz w:val="32"/>
          <w:szCs w:val="32"/>
        </w:rPr>
      </w:pPr>
    </w:p>
    <w:p>
      <w:pPr>
        <w:pStyle w:val="2"/>
        <w:rPr>
          <w:rFonts w:ascii="仿宋_GB2312" w:hAnsi="Times New Roman" w:eastAsia="仿宋_GB2312"/>
          <w:sz w:val="32"/>
          <w:szCs w:val="32"/>
        </w:rPr>
      </w:pPr>
    </w:p>
    <w:p>
      <w:pPr>
        <w:spacing w:line="360" w:lineRule="auto"/>
        <w:jc w:val="center"/>
        <w:rPr>
          <w:rFonts w:hint="eastAsia" w:ascii="宋体" w:hAnsi="宋体" w:cs="宋体"/>
          <w:sz w:val="32"/>
          <w:szCs w:val="32"/>
        </w:rPr>
      </w:pPr>
      <w:r>
        <w:rPr>
          <w:rFonts w:hint="eastAsia" w:ascii="宋体" w:hAnsi="宋体" w:cs="宋体"/>
          <w:sz w:val="32"/>
          <w:szCs w:val="32"/>
        </w:rPr>
        <w:t>南方电网通用航空服务有限公司</w:t>
      </w:r>
    </w:p>
    <w:p>
      <w:pPr>
        <w:spacing w:line="360" w:lineRule="auto"/>
        <w:rPr>
          <w:rFonts w:hint="eastAsia" w:ascii="宋体" w:hAnsi="宋体" w:cs="宋体"/>
          <w:sz w:val="24"/>
        </w:rPr>
      </w:pPr>
    </w:p>
    <w:p>
      <w:pPr>
        <w:jc w:val="center"/>
        <w:rPr>
          <w:rFonts w:hint="eastAsia" w:ascii="宋体" w:hAnsi="宋体" w:cs="宋体"/>
          <w:sz w:val="36"/>
          <w:szCs w:val="36"/>
        </w:rPr>
      </w:pPr>
      <w:r>
        <w:rPr>
          <w:rFonts w:hint="eastAsia" w:ascii="宋体" w:hAnsi="宋体" w:cs="宋体"/>
          <w:sz w:val="32"/>
          <w:szCs w:val="32"/>
        </w:rPr>
        <w:t>2025年</w:t>
      </w:r>
      <w:r>
        <w:rPr>
          <w:rFonts w:hint="eastAsia" w:ascii="宋体" w:hAnsi="宋体" w:cs="宋体"/>
          <w:sz w:val="32"/>
          <w:szCs w:val="32"/>
          <w:lang w:val="en-US" w:eastAsia="zh-CN"/>
        </w:rPr>
        <w:t>7</w:t>
      </w:r>
      <w:r>
        <w:rPr>
          <w:rFonts w:hint="eastAsia" w:ascii="宋体" w:hAnsi="宋体" w:cs="宋体"/>
          <w:sz w:val="32"/>
          <w:szCs w:val="32"/>
        </w:rPr>
        <w:t>月</w:t>
      </w:r>
    </w:p>
    <w:p>
      <w:pPr>
        <w:pStyle w:val="35"/>
        <w:spacing w:line="360" w:lineRule="auto"/>
        <w:ind w:firstLine="0" w:firstLineChars="0"/>
        <w:jc w:val="center"/>
        <w:rPr>
          <w:rFonts w:hint="eastAsia" w:ascii="宋体" w:hAnsi="宋体" w:eastAsia="宋体" w:cs="宋体"/>
          <w:kern w:val="2"/>
          <w:sz w:val="36"/>
          <w:szCs w:val="36"/>
        </w:rPr>
        <w:sectPr>
          <w:footerReference r:id="rId3" w:type="default"/>
          <w:pgSz w:w="11906" w:h="16838"/>
          <w:pgMar w:top="1440" w:right="1797" w:bottom="1440" w:left="1797" w:header="851" w:footer="992" w:gutter="0"/>
          <w:pgNumType w:start="1"/>
          <w:cols w:space="425" w:num="1"/>
          <w:docGrid w:type="lines" w:linePitch="312" w:charSpace="0"/>
        </w:sectPr>
      </w:pP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5"/>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_Toc1269 </w:instrText>
      </w:r>
      <w:r>
        <w:rPr>
          <w:rFonts w:hint="eastAsia" w:ascii="宋体" w:hAnsi="宋体" w:eastAsia="宋体" w:cs="宋体"/>
          <w:kern w:val="2"/>
          <w:szCs w:val="36"/>
        </w:rPr>
        <w:fldChar w:fldCharType="separate"/>
      </w:r>
      <w:r>
        <w:rPr>
          <w:rFonts w:hint="eastAsia" w:ascii="宋体" w:hAnsi="宋体" w:eastAsia="宋体" w:cs="宋体"/>
        </w:rPr>
        <w:t>1 一般规定</w:t>
      </w:r>
      <w:r>
        <w:tab/>
      </w:r>
      <w:r>
        <w:fldChar w:fldCharType="begin"/>
      </w:r>
      <w:r>
        <w:instrText xml:space="preserve"> PAGEREF _Toc1269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_Toc20431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tab/>
      </w:r>
      <w:r>
        <w:fldChar w:fldCharType="begin"/>
      </w:r>
      <w:r>
        <w:instrText xml:space="preserve"> PAGEREF _Toc20431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_Toc17892 </w:instrText>
      </w:r>
      <w:r>
        <w:rPr>
          <w:rFonts w:hint="eastAsia" w:ascii="宋体" w:hAnsi="宋体" w:eastAsia="宋体" w:cs="宋体"/>
          <w:kern w:val="2"/>
          <w:szCs w:val="36"/>
        </w:rPr>
        <w:fldChar w:fldCharType="separate"/>
      </w:r>
      <w:r>
        <w:rPr>
          <w:rFonts w:hint="eastAsia" w:ascii="宋体" w:hAnsi="宋体" w:eastAsia="宋体" w:cs="宋体"/>
        </w:rPr>
        <w:t>3技术要求</w:t>
      </w:r>
      <w:r>
        <w:tab/>
      </w:r>
      <w:r>
        <w:fldChar w:fldCharType="begin"/>
      </w:r>
      <w:r>
        <w:instrText xml:space="preserve"> PAGEREF _Toc17892 \h </w:instrText>
      </w:r>
      <w:r>
        <w:fldChar w:fldCharType="separate"/>
      </w:r>
      <w:r>
        <w:t>1</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_Toc25770 </w:instrText>
      </w:r>
      <w:r>
        <w:rPr>
          <w:rFonts w:hint="eastAsia" w:ascii="宋体" w:hAnsi="宋体" w:eastAsia="宋体" w:cs="宋体"/>
          <w:kern w:val="2"/>
          <w:szCs w:val="36"/>
        </w:rPr>
        <w:fldChar w:fldCharType="separate"/>
      </w:r>
      <w:r>
        <w:rPr>
          <w:rFonts w:hint="eastAsia" w:ascii="宋体" w:hAnsi="宋体" w:eastAsia="宋体" w:cs="宋体"/>
        </w:rPr>
        <w:t>4包装和运输</w:t>
      </w:r>
      <w:r>
        <w:tab/>
      </w:r>
      <w:r>
        <w:fldChar w:fldCharType="begin"/>
      </w:r>
      <w:r>
        <w:instrText xml:space="preserve"> PAGEREF _Toc25770 \h </w:instrText>
      </w:r>
      <w:r>
        <w:fldChar w:fldCharType="separate"/>
      </w:r>
      <w:r>
        <w:t>32</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_Toc3850 </w:instrText>
      </w:r>
      <w:r>
        <w:rPr>
          <w:rFonts w:hint="eastAsia" w:ascii="宋体" w:hAnsi="宋体" w:eastAsia="宋体" w:cs="宋体"/>
          <w:kern w:val="2"/>
          <w:szCs w:val="36"/>
        </w:rPr>
        <w:fldChar w:fldCharType="separate"/>
      </w:r>
      <w:r>
        <w:rPr>
          <w:rFonts w:hint="eastAsia" w:ascii="宋体" w:hAnsi="宋体" w:eastAsia="宋体" w:cs="宋体"/>
        </w:rPr>
        <w:t>5技术服务</w:t>
      </w:r>
      <w:r>
        <w:tab/>
      </w:r>
      <w:r>
        <w:fldChar w:fldCharType="begin"/>
      </w:r>
      <w:r>
        <w:instrText xml:space="preserve"> PAGEREF _Toc3850 \h </w:instrText>
      </w:r>
      <w:r>
        <w:fldChar w:fldCharType="separate"/>
      </w:r>
      <w:r>
        <w:t>33</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_Toc23369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tab/>
      </w:r>
      <w:r>
        <w:fldChar w:fldCharType="begin"/>
      </w:r>
      <w:r>
        <w:instrText xml:space="preserve"> PAGEREF _Toc23369 \h </w:instrText>
      </w:r>
      <w:r>
        <w:fldChar w:fldCharType="separate"/>
      </w:r>
      <w:r>
        <w:t>33</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_Toc19285 </w:instrText>
      </w:r>
      <w:r>
        <w:rPr>
          <w:rFonts w:hint="eastAsia" w:ascii="宋体" w:hAnsi="宋体" w:eastAsia="宋体" w:cs="宋体"/>
          <w:kern w:val="2"/>
          <w:szCs w:val="36"/>
        </w:rPr>
        <w:fldChar w:fldCharType="separate"/>
      </w:r>
      <w:r>
        <w:rPr>
          <w:rFonts w:hint="eastAsia" w:ascii="宋体" w:hAnsi="宋体" w:eastAsia="宋体" w:cs="宋体"/>
        </w:rPr>
        <w:t>7设备验收</w:t>
      </w:r>
      <w:r>
        <w:tab/>
      </w:r>
      <w:r>
        <w:fldChar w:fldCharType="begin"/>
      </w:r>
      <w:r>
        <w:instrText xml:space="preserve"> PAGEREF _Toc19285 \h </w:instrText>
      </w:r>
      <w:r>
        <w:fldChar w:fldCharType="separate"/>
      </w:r>
      <w:r>
        <w:t>34</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_Toc26538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附录1 </w:t>
      </w:r>
      <w:r>
        <w:rPr>
          <w:rFonts w:hint="eastAsia" w:ascii="宋体" w:hAnsi="宋体" w:eastAsia="宋体" w:cs="宋体"/>
        </w:rPr>
        <w:t>供货范围</w:t>
      </w:r>
      <w:r>
        <w:tab/>
      </w:r>
      <w:r>
        <w:fldChar w:fldCharType="begin"/>
      </w:r>
      <w:r>
        <w:instrText xml:space="preserve"> PAGEREF _Toc26538 \h </w:instrText>
      </w:r>
      <w:r>
        <w:fldChar w:fldCharType="separate"/>
      </w:r>
      <w:r>
        <w:t>34</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_Toc28334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附录2 </w:t>
      </w:r>
      <w:r>
        <w:rPr>
          <w:rFonts w:hint="eastAsia" w:ascii="宋体" w:hAnsi="宋体" w:eastAsia="宋体" w:cs="宋体"/>
        </w:rPr>
        <w:t>技术差异汇总</w:t>
      </w:r>
      <w:r>
        <w:tab/>
      </w:r>
      <w:r>
        <w:fldChar w:fldCharType="begin"/>
      </w:r>
      <w:r>
        <w:instrText xml:space="preserve"> PAGEREF _Toc28334 \h </w:instrText>
      </w:r>
      <w:r>
        <w:fldChar w:fldCharType="separate"/>
      </w:r>
      <w:r>
        <w:t>35</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_Toc8520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附录3  </w:t>
      </w:r>
      <w:r>
        <w:rPr>
          <w:rFonts w:hint="eastAsia" w:ascii="宋体" w:hAnsi="宋体" w:eastAsia="宋体" w:cs="宋体"/>
        </w:rPr>
        <w:t>主要元器件来源</w:t>
      </w:r>
      <w:r>
        <w:tab/>
      </w:r>
      <w:r>
        <w:fldChar w:fldCharType="begin"/>
      </w:r>
      <w:r>
        <w:instrText xml:space="preserve"> PAGEREF _Toc8520 \h </w:instrText>
      </w:r>
      <w:r>
        <w:fldChar w:fldCharType="separate"/>
      </w:r>
      <w:r>
        <w:t>35</w:t>
      </w:r>
      <w:r>
        <w:fldChar w:fldCharType="end"/>
      </w:r>
      <w:r>
        <w:rPr>
          <w:rFonts w:hint="eastAsia" w:ascii="宋体" w:hAnsi="宋体" w:eastAsia="宋体" w:cs="宋体"/>
          <w:kern w:val="2"/>
          <w:szCs w:val="36"/>
        </w:rPr>
        <w:fldChar w:fldCharType="end"/>
      </w:r>
    </w:p>
    <w:p>
      <w:pPr>
        <w:pStyle w:val="16"/>
        <w:tabs>
          <w:tab w:val="right" w:leader="dot" w:pos="8312"/>
        </w:tabs>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_Toc24440 </w:instrText>
      </w:r>
      <w:r>
        <w:rPr>
          <w:rFonts w:hint="eastAsia" w:ascii="宋体" w:hAnsi="宋体" w:eastAsia="宋体" w:cs="宋体"/>
          <w:kern w:val="2"/>
          <w:szCs w:val="36"/>
        </w:rPr>
        <w:fldChar w:fldCharType="separate"/>
      </w:r>
      <w:r>
        <w:rPr>
          <w:rFonts w:hint="eastAsia" w:ascii="宋体" w:hAnsi="宋体" w:eastAsia="宋体" w:cs="宋体"/>
          <w:lang w:val="en-US" w:eastAsia="zh-CN"/>
        </w:rPr>
        <w:t xml:space="preserve">附录4 </w:t>
      </w:r>
      <w:r>
        <w:rPr>
          <w:rFonts w:hint="eastAsia" w:ascii="宋体" w:hAnsi="宋体" w:eastAsia="宋体" w:cs="宋体"/>
        </w:rPr>
        <w:t>备品备件、专用工具和仪器仪表供货表</w:t>
      </w:r>
      <w:r>
        <w:tab/>
      </w:r>
      <w:r>
        <w:fldChar w:fldCharType="begin"/>
      </w:r>
      <w:r>
        <w:instrText xml:space="preserve"> PAGEREF _Toc24440 \h </w:instrText>
      </w:r>
      <w:r>
        <w:fldChar w:fldCharType="separate"/>
      </w:r>
      <w:r>
        <w:t>36</w:t>
      </w:r>
      <w:r>
        <w:fldChar w:fldCharType="end"/>
      </w: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5"/>
        <w:spacing w:line="360" w:lineRule="auto"/>
        <w:ind w:firstLine="0" w:firstLineChars="0"/>
        <w:jc w:val="center"/>
        <w:rPr>
          <w:rFonts w:hint="eastAsia" w:ascii="宋体" w:hAnsi="宋体" w:eastAsia="宋体" w:cs="宋体"/>
        </w:rPr>
        <w:sectPr>
          <w:footerReference r:id="rId4" w:type="default"/>
          <w:pgSz w:w="11906" w:h="16838"/>
          <w:pgMar w:top="1440" w:right="1797" w:bottom="1440" w:left="1797" w:header="851" w:footer="992" w:gutter="0"/>
          <w:pgNumType w:start="1"/>
          <w:cols w:space="425" w:num="1"/>
          <w:docGrid w:type="lines" w:linePitch="312" w:charSpace="0"/>
        </w:sectPr>
      </w:pPr>
      <w:bookmarkStart w:id="0" w:name="_Toc300067963"/>
    </w:p>
    <w:p>
      <w:pPr>
        <w:pStyle w:val="3"/>
        <w:rPr>
          <w:rFonts w:hint="eastAsia" w:ascii="宋体" w:hAnsi="宋体" w:eastAsia="宋体" w:cs="宋体"/>
          <w:sz w:val="21"/>
          <w:highlight w:val="yellow"/>
        </w:rPr>
      </w:pPr>
      <w:bookmarkStart w:id="1" w:name="_Toc12382"/>
      <w:bookmarkStart w:id="2" w:name="_Toc1269"/>
      <w:bookmarkStart w:id="3" w:name="_Toc27489"/>
      <w:bookmarkStart w:id="4" w:name="_Toc7140"/>
      <w:r>
        <w:rPr>
          <w:rFonts w:hint="eastAsia" w:ascii="宋体" w:hAnsi="宋体" w:eastAsia="宋体" w:cs="宋体"/>
          <w:sz w:val="21"/>
        </w:rPr>
        <w:t>1 一般规定</w:t>
      </w:r>
      <w:bookmarkEnd w:id="0"/>
      <w:bookmarkEnd w:id="1"/>
      <w:bookmarkEnd w:id="2"/>
      <w:bookmarkEnd w:id="3"/>
      <w:bookmarkEnd w:id="4"/>
    </w:p>
    <w:p>
      <w:pPr>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1.1 本技术条件书适用于南方电网2025年第</w:t>
      </w:r>
      <w:r>
        <w:rPr>
          <w:rFonts w:hint="eastAsia" w:ascii="宋体" w:hAnsi="宋体" w:cs="宋体"/>
          <w:color w:val="auto"/>
          <w:szCs w:val="24"/>
          <w:highlight w:val="none"/>
          <w:lang w:val="en-US" w:eastAsia="zh-CN"/>
        </w:rPr>
        <w:t>二</w:t>
      </w:r>
      <w:r>
        <w:rPr>
          <w:rFonts w:hint="eastAsia" w:ascii="宋体" w:hAnsi="宋体" w:eastAsia="宋体" w:cs="宋体"/>
          <w:color w:val="auto"/>
          <w:szCs w:val="24"/>
          <w:highlight w:val="none"/>
        </w:rPr>
        <w:t>批无人机设备及相关附件框架采购智能运维一体机（数据处理工作站）货物框架采购项目，该设备需满足本文所要求条件。</w:t>
      </w:r>
    </w:p>
    <w:p>
      <w:pPr>
        <w:spacing w:line="360" w:lineRule="auto"/>
        <w:rPr>
          <w:rFonts w:hint="eastAsia" w:ascii="宋体" w:hAnsi="宋体" w:eastAsia="宋体" w:cs="宋体"/>
          <w:color w:val="auto"/>
          <w:szCs w:val="24"/>
          <w:highlight w:val="none"/>
        </w:rPr>
      </w:pPr>
      <w:r>
        <w:rPr>
          <w:rFonts w:hint="eastAsia" w:ascii="宋体" w:hAnsi="宋体" w:eastAsia="宋体" w:cs="宋体"/>
          <w:color w:val="auto"/>
          <w:szCs w:val="24"/>
          <w:highlight w:val="none"/>
        </w:rPr>
        <w:t>1.2 本次招标设备</w:t>
      </w:r>
      <w:r>
        <w:rPr>
          <w:rFonts w:hint="eastAsia" w:ascii="宋体" w:hAnsi="宋体" w:cs="宋体"/>
          <w:color w:val="auto"/>
          <w:szCs w:val="24"/>
          <w:highlight w:val="none"/>
          <w:lang w:eastAsia="zh-CN"/>
        </w:rPr>
        <w:t>智能终端运维一体机等</w:t>
      </w:r>
      <w:r>
        <w:rPr>
          <w:rFonts w:hint="eastAsia" w:ascii="宋体" w:hAnsi="宋体" w:eastAsia="宋体" w:cs="宋体"/>
          <w:color w:val="auto"/>
          <w:szCs w:val="24"/>
          <w:highlight w:val="none"/>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5</w:t>
      </w:r>
      <w:r>
        <w:rPr>
          <w:rFonts w:hint="eastAsia" w:ascii="宋体" w:hAnsi="宋体" w:eastAsia="宋体" w:cs="宋体"/>
          <w:szCs w:val="24"/>
        </w:rPr>
        <w:t xml:space="preserve">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6</w:t>
      </w:r>
      <w:r>
        <w:rPr>
          <w:rFonts w:hint="eastAsia" w:ascii="宋体" w:hAnsi="宋体" w:eastAsia="宋体" w:cs="宋体"/>
          <w:szCs w:val="24"/>
        </w:rPr>
        <w:t xml:space="preserve">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7</w:t>
      </w:r>
      <w:r>
        <w:rPr>
          <w:rFonts w:hint="eastAsia" w:ascii="宋体" w:hAnsi="宋体" w:eastAsia="宋体" w:cs="宋体"/>
          <w:szCs w:val="24"/>
        </w:rPr>
        <w:t xml:space="preserve">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8</w:t>
      </w:r>
      <w:r>
        <w:rPr>
          <w:rFonts w:hint="eastAsia" w:ascii="宋体" w:hAnsi="宋体" w:eastAsia="宋体" w:cs="宋体"/>
          <w:szCs w:val="24"/>
        </w:rPr>
        <w:t xml:space="preserve">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w:t>
      </w:r>
      <w:r>
        <w:rPr>
          <w:rFonts w:hint="eastAsia" w:ascii="宋体" w:hAnsi="宋体" w:cs="宋体"/>
          <w:szCs w:val="24"/>
          <w:lang w:val="en-US" w:eastAsia="zh-CN"/>
        </w:rPr>
        <w:t>9</w:t>
      </w:r>
      <w:r>
        <w:rPr>
          <w:rFonts w:hint="eastAsia" w:ascii="宋体" w:hAnsi="宋体" w:eastAsia="宋体" w:cs="宋体"/>
          <w:szCs w:val="24"/>
        </w:rPr>
        <w:t xml:space="preserve"> 本技术规范书的解释权属于南方电网通用航空服务有限公司。技术规范书未经南方电网通用航空服务有限公司同意，任何个人和单位不得做出任何修改。</w:t>
      </w:r>
    </w:p>
    <w:p>
      <w:pPr>
        <w:pStyle w:val="3"/>
        <w:rPr>
          <w:rFonts w:hint="eastAsia" w:ascii="宋体" w:hAnsi="宋体" w:eastAsia="宋体" w:cs="宋体"/>
          <w:sz w:val="21"/>
        </w:rPr>
      </w:pPr>
      <w:bookmarkStart w:id="5" w:name="_Toc6217"/>
      <w:bookmarkStart w:id="6" w:name="_Toc7746"/>
      <w:bookmarkStart w:id="7" w:name="_Toc20431"/>
      <w:bookmarkStart w:id="8" w:name="_Toc20973"/>
      <w:r>
        <w:rPr>
          <w:rFonts w:hint="eastAsia" w:ascii="宋体" w:hAnsi="宋体" w:eastAsia="宋体" w:cs="宋体"/>
          <w:sz w:val="21"/>
        </w:rPr>
        <w:t>2技术文件的组成</w:t>
      </w:r>
      <w:bookmarkEnd w:id="5"/>
      <w:bookmarkEnd w:id="6"/>
      <w:bookmarkEnd w:id="7"/>
      <w:bookmarkEnd w:id="8"/>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default"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cs="宋体"/>
          <w:b w:val="0"/>
          <w:bCs w:val="0"/>
          <w:szCs w:val="24"/>
          <w:lang w:eastAsia="zh-CN"/>
        </w:rPr>
        <w:t>。</w:t>
      </w:r>
      <w:bookmarkStart w:id="9" w:name="_Toc11737"/>
    </w:p>
    <w:p>
      <w:pPr>
        <w:pStyle w:val="3"/>
        <w:rPr>
          <w:rFonts w:hint="eastAsia" w:ascii="宋体" w:hAnsi="宋体" w:eastAsia="宋体" w:cs="宋体"/>
          <w:sz w:val="21"/>
        </w:rPr>
      </w:pPr>
      <w:bookmarkStart w:id="10" w:name="_Toc27753"/>
      <w:bookmarkStart w:id="11" w:name="_Toc5425"/>
      <w:bookmarkStart w:id="12" w:name="_Toc17892"/>
    </w:p>
    <w:p>
      <w:pPr>
        <w:rPr>
          <w:rFonts w:hint="eastAsia" w:ascii="宋体" w:hAnsi="宋体" w:eastAsia="宋体" w:cs="宋体"/>
          <w:sz w:val="21"/>
        </w:rPr>
      </w:pPr>
    </w:p>
    <w:p>
      <w:pPr>
        <w:pStyle w:val="2"/>
        <w:rPr>
          <w:rFonts w:hint="eastAsia" w:ascii="宋体" w:hAnsi="宋体" w:eastAsia="宋体" w:cs="宋体"/>
          <w:sz w:val="21"/>
        </w:rPr>
      </w:pPr>
    </w:p>
    <w:p>
      <w:pPr>
        <w:pStyle w:val="2"/>
        <w:rPr>
          <w:rFonts w:hint="eastAsia" w:ascii="宋体" w:hAnsi="宋体" w:eastAsia="宋体" w:cs="宋体"/>
          <w:sz w:val="21"/>
        </w:rPr>
      </w:pPr>
    </w:p>
    <w:p>
      <w:pPr>
        <w:pStyle w:val="3"/>
        <w:rPr>
          <w:rFonts w:hint="eastAsia" w:ascii="宋体" w:hAnsi="宋体" w:eastAsia="宋体" w:cs="宋体"/>
          <w:sz w:val="21"/>
        </w:rPr>
      </w:pPr>
      <w:r>
        <w:rPr>
          <w:rFonts w:hint="eastAsia" w:ascii="宋体" w:hAnsi="宋体" w:eastAsia="宋体" w:cs="宋体"/>
          <w:sz w:val="21"/>
        </w:rPr>
        <w:t>3技术要求</w:t>
      </w:r>
      <w:bookmarkEnd w:id="9"/>
      <w:bookmarkEnd w:id="10"/>
      <w:bookmarkEnd w:id="11"/>
      <w:bookmarkEnd w:id="12"/>
    </w:p>
    <w:p>
      <w:pPr>
        <w:pStyle w:val="39"/>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本技术规范书采购的设备适用的外部条件如下：</w:t>
      </w:r>
    </w:p>
    <w:p>
      <w:pPr>
        <w:jc w:val="center"/>
        <w:rPr>
          <w:rFonts w:hint="eastAsia" w:ascii="宋体" w:hAnsi="宋体"/>
          <w:szCs w:val="21"/>
        </w:rPr>
      </w:pPr>
    </w:p>
    <w:p>
      <w:pPr>
        <w:jc w:val="center"/>
        <w:rPr>
          <w:rFonts w:ascii="宋体" w:hAnsi="宋体"/>
          <w:szCs w:val="21"/>
        </w:rPr>
      </w:pPr>
      <w:r>
        <w:rPr>
          <w:rFonts w:hint="eastAsia" w:ascii="宋体" w:hAnsi="宋体"/>
          <w:szCs w:val="21"/>
        </w:rPr>
        <w:t>表</w:t>
      </w:r>
      <w:r>
        <w:rPr>
          <w:rFonts w:hint="eastAsia" w:ascii="宋体" w:hAnsi="宋体"/>
          <w:szCs w:val="21"/>
          <w:lang w:val="en-US" w:eastAsia="zh-CN"/>
        </w:rPr>
        <w:t>3</w:t>
      </w:r>
      <w:r>
        <w:rPr>
          <w:rFonts w:hint="eastAsia" w:ascii="宋体" w:hAnsi="宋体"/>
          <w:szCs w:val="21"/>
        </w:rPr>
        <w:t xml:space="preserve"> 设备外部条件一览表 （招标方填写）</w:t>
      </w:r>
    </w:p>
    <w:tbl>
      <w:tblPr>
        <w:tblStyle w:val="20"/>
        <w:tblW w:w="8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810"/>
        <w:gridCol w:w="541"/>
        <w:gridCol w:w="917"/>
        <w:gridCol w:w="900"/>
        <w:gridCol w:w="1131"/>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序号</w:t>
            </w:r>
          </w:p>
        </w:tc>
        <w:tc>
          <w:tcPr>
            <w:tcW w:w="181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参数类型</w:t>
            </w:r>
          </w:p>
        </w:tc>
        <w:tc>
          <w:tcPr>
            <w:tcW w:w="54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单位</w:t>
            </w:r>
          </w:p>
        </w:tc>
        <w:tc>
          <w:tcPr>
            <w:tcW w:w="917"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正常使用条件</w:t>
            </w:r>
          </w:p>
        </w:tc>
        <w:tc>
          <w:tcPr>
            <w:tcW w:w="90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特殊使用条件</w:t>
            </w:r>
          </w:p>
        </w:tc>
        <w:tc>
          <w:tcPr>
            <w:tcW w:w="11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项目需求值或表述</w:t>
            </w:r>
          </w:p>
        </w:tc>
        <w:tc>
          <w:tcPr>
            <w:tcW w:w="1572"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投标人保证值</w:t>
            </w:r>
          </w:p>
        </w:tc>
        <w:tc>
          <w:tcPr>
            <w:tcW w:w="135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bCs/>
                <w:kern w:val="0"/>
                <w:szCs w:val="21"/>
              </w:rPr>
            </w:pPr>
            <w:r>
              <w:rPr>
                <w:rFonts w:hint="eastAsia" w:ascii="宋体" w:hAnsi="宋体"/>
                <w:bCs/>
                <w:kern w:val="0"/>
                <w:szCs w:val="21"/>
              </w:rPr>
              <w:t>1</w:t>
            </w:r>
          </w:p>
        </w:tc>
        <w:tc>
          <w:tcPr>
            <w:tcW w:w="8222" w:type="dxa"/>
            <w:gridSpan w:val="7"/>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rPr>
              <w:t>1.1</w:t>
            </w:r>
          </w:p>
        </w:tc>
        <w:tc>
          <w:tcPr>
            <w:tcW w:w="181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rPr>
              <w:t>最高日温度</w:t>
            </w:r>
          </w:p>
        </w:tc>
        <w:tc>
          <w:tcPr>
            <w:tcW w:w="54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vertAlign w:val="superscript"/>
              </w:rPr>
              <w:t>0</w:t>
            </w:r>
            <w:r>
              <w:rPr>
                <w:rFonts w:hint="eastAsia" w:ascii="宋体" w:hAnsi="宋体"/>
                <w:color w:val="auto"/>
                <w:kern w:val="0"/>
                <w:szCs w:val="21"/>
                <w:highlight w:val="none"/>
              </w:rPr>
              <w:t>C</w:t>
            </w:r>
          </w:p>
        </w:tc>
        <w:tc>
          <w:tcPr>
            <w:tcW w:w="917"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+40</w:t>
            </w:r>
          </w:p>
        </w:tc>
        <w:tc>
          <w:tcPr>
            <w:tcW w:w="90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w:t>
            </w:r>
          </w:p>
        </w:tc>
        <w:tc>
          <w:tcPr>
            <w:tcW w:w="11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default" w:ascii="宋体" w:hAnsi="宋体" w:eastAsia="宋体" w:cs="Times New Roman"/>
                <w:color w:val="auto"/>
                <w:kern w:val="0"/>
                <w:sz w:val="21"/>
                <w:szCs w:val="21"/>
                <w:highlight w:val="none"/>
                <w:lang w:val="en-US" w:eastAsia="zh-CN" w:bidi="ar-SA"/>
              </w:rPr>
            </w:pPr>
            <w:r>
              <w:rPr>
                <w:rFonts w:hint="eastAsia" w:ascii="宋体" w:hAnsi="宋体" w:cs="Times New Roman"/>
                <w:color w:val="auto"/>
                <w:kern w:val="0"/>
                <w:sz w:val="21"/>
                <w:szCs w:val="21"/>
                <w:highlight w:val="none"/>
                <w:lang w:val="en-US" w:eastAsia="zh-CN" w:bidi="ar-SA"/>
              </w:rPr>
              <w:t>+40</w:t>
            </w:r>
          </w:p>
        </w:tc>
        <w:tc>
          <w:tcPr>
            <w:tcW w:w="1572"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p>
        </w:tc>
        <w:tc>
          <w:tcPr>
            <w:tcW w:w="135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rPr>
              <w:t>1.2</w:t>
            </w:r>
          </w:p>
        </w:tc>
        <w:tc>
          <w:tcPr>
            <w:tcW w:w="181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rPr>
              <w:t>最低日温度</w:t>
            </w:r>
          </w:p>
        </w:tc>
        <w:tc>
          <w:tcPr>
            <w:tcW w:w="54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vertAlign w:val="superscript"/>
              </w:rPr>
              <w:t>0</w:t>
            </w:r>
            <w:r>
              <w:rPr>
                <w:rFonts w:hint="eastAsia" w:ascii="宋体" w:hAnsi="宋体"/>
                <w:color w:val="auto"/>
                <w:kern w:val="0"/>
                <w:szCs w:val="21"/>
                <w:highlight w:val="none"/>
              </w:rPr>
              <w:t>C</w:t>
            </w:r>
          </w:p>
        </w:tc>
        <w:tc>
          <w:tcPr>
            <w:tcW w:w="917"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1</w:t>
            </w:r>
            <w:r>
              <w:rPr>
                <w:rFonts w:ascii="宋体" w:hAnsi="宋体"/>
                <w:color w:val="auto"/>
                <w:kern w:val="0"/>
                <w:szCs w:val="21"/>
                <w:highlight w:val="none"/>
              </w:rPr>
              <w:t>0</w:t>
            </w:r>
          </w:p>
        </w:tc>
        <w:tc>
          <w:tcPr>
            <w:tcW w:w="90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eastAsia"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w:t>
            </w:r>
          </w:p>
        </w:tc>
        <w:tc>
          <w:tcPr>
            <w:tcW w:w="11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eastAsia="宋体" w:cs="Times New Roman"/>
                <w:color w:val="auto"/>
                <w:kern w:val="0"/>
                <w:sz w:val="21"/>
                <w:szCs w:val="21"/>
                <w:highlight w:val="none"/>
                <w:lang w:val="en-US" w:eastAsia="zh-CN" w:bidi="ar-SA"/>
              </w:rPr>
            </w:pP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1</w:t>
            </w:r>
            <w:r>
              <w:rPr>
                <w:rFonts w:ascii="宋体" w:hAnsi="宋体"/>
                <w:color w:val="auto"/>
                <w:kern w:val="0"/>
                <w:szCs w:val="21"/>
                <w:highlight w:val="none"/>
              </w:rPr>
              <w:t>0</w:t>
            </w:r>
          </w:p>
        </w:tc>
        <w:tc>
          <w:tcPr>
            <w:tcW w:w="1572"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olor w:val="auto"/>
                <w:kern w:val="0"/>
                <w:szCs w:val="21"/>
                <w:highlight w:val="none"/>
              </w:rPr>
            </w:pPr>
          </w:p>
        </w:tc>
        <w:tc>
          <w:tcPr>
            <w:tcW w:w="135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ascii="宋体" w:hAnsi="宋体"/>
                <w:kern w:val="0"/>
                <w:szCs w:val="21"/>
              </w:rPr>
              <w:t>2</w:t>
            </w:r>
          </w:p>
        </w:tc>
        <w:tc>
          <w:tcPr>
            <w:tcW w:w="8222" w:type="dxa"/>
            <w:gridSpan w:val="7"/>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cs="宋体"/>
                <w:kern w:val="0"/>
                <w:szCs w:val="21"/>
              </w:rPr>
              <w:t>环境相对湿度</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rPr>
              <w:t>2.1</w:t>
            </w:r>
          </w:p>
        </w:tc>
        <w:tc>
          <w:tcPr>
            <w:tcW w:w="181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s="宋体"/>
                <w:kern w:val="0"/>
                <w:szCs w:val="21"/>
              </w:rPr>
            </w:pPr>
            <w:r>
              <w:rPr>
                <w:rFonts w:hint="eastAsia" w:ascii="宋体" w:hAnsi="宋体" w:cs="宋体"/>
                <w:kern w:val="0"/>
                <w:szCs w:val="21"/>
              </w:rPr>
              <w:t>最大相对湿度</w:t>
            </w:r>
            <w:r>
              <w:rPr>
                <w:rFonts w:hint="eastAsia" w:ascii="宋体" w:hAnsi="宋体"/>
                <w:kern w:val="0"/>
                <w:szCs w:val="21"/>
              </w:rPr>
              <w:t>RH</w:t>
            </w:r>
          </w:p>
        </w:tc>
        <w:tc>
          <w:tcPr>
            <w:tcW w:w="54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lang w:val="en-US" w:eastAsia="zh-CN"/>
              </w:rPr>
              <w:t>%</w:t>
            </w:r>
          </w:p>
        </w:tc>
        <w:tc>
          <w:tcPr>
            <w:tcW w:w="917"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default" w:ascii="宋体" w:hAnsi="宋体" w:eastAsia="宋体"/>
                <w:kern w:val="0"/>
                <w:szCs w:val="21"/>
                <w:lang w:val="en-US" w:eastAsia="zh-CN"/>
              </w:rPr>
            </w:pPr>
            <w:r>
              <w:rPr>
                <w:rFonts w:hint="eastAsia" w:ascii="宋体" w:hAnsi="宋体"/>
                <w:kern w:val="0"/>
                <w:szCs w:val="21"/>
                <w:lang w:val="en-US" w:eastAsia="zh-CN"/>
              </w:rPr>
              <w:t>60</w:t>
            </w:r>
          </w:p>
        </w:tc>
        <w:tc>
          <w:tcPr>
            <w:tcW w:w="90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11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rPr>
              <w:t>产品内部不应凝露</w:t>
            </w:r>
          </w:p>
        </w:tc>
        <w:tc>
          <w:tcPr>
            <w:tcW w:w="1572"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c>
          <w:tcPr>
            <w:tcW w:w="135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5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rPr>
              <w:t>2.2</w:t>
            </w:r>
          </w:p>
        </w:tc>
        <w:tc>
          <w:tcPr>
            <w:tcW w:w="181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cs="宋体"/>
                <w:kern w:val="0"/>
                <w:szCs w:val="21"/>
              </w:rPr>
            </w:pPr>
            <w:r>
              <w:rPr>
                <w:rFonts w:hint="eastAsia" w:ascii="宋体" w:hAnsi="宋体" w:cs="宋体"/>
                <w:kern w:val="0"/>
                <w:szCs w:val="21"/>
              </w:rPr>
              <w:t>最小相对湿度</w:t>
            </w:r>
            <w:r>
              <w:rPr>
                <w:rFonts w:hint="eastAsia" w:ascii="宋体" w:hAnsi="宋体"/>
                <w:kern w:val="0"/>
                <w:szCs w:val="21"/>
              </w:rPr>
              <w:t>RH</w:t>
            </w:r>
          </w:p>
        </w:tc>
        <w:tc>
          <w:tcPr>
            <w:tcW w:w="54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lang w:val="en-US" w:eastAsia="zh-CN"/>
              </w:rPr>
              <w:t>%</w:t>
            </w:r>
          </w:p>
        </w:tc>
        <w:tc>
          <w:tcPr>
            <w:tcW w:w="917"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default" w:ascii="宋体" w:hAnsi="宋体" w:eastAsia="宋体"/>
                <w:kern w:val="0"/>
                <w:szCs w:val="21"/>
                <w:lang w:val="en-US" w:eastAsia="zh-CN"/>
              </w:rPr>
            </w:pPr>
            <w:r>
              <w:rPr>
                <w:rFonts w:hint="eastAsia" w:ascii="宋体" w:hAnsi="宋体"/>
                <w:kern w:val="0"/>
                <w:szCs w:val="21"/>
                <w:lang w:val="en-US" w:eastAsia="zh-CN"/>
              </w:rPr>
              <w:t>20</w:t>
            </w:r>
          </w:p>
        </w:tc>
        <w:tc>
          <w:tcPr>
            <w:tcW w:w="900"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hint="eastAsia" w:ascii="宋体" w:hAnsi="宋体" w:eastAsia="宋体"/>
                <w:kern w:val="0"/>
                <w:szCs w:val="21"/>
                <w:lang w:val="en-US" w:eastAsia="zh-CN"/>
              </w:rPr>
            </w:pPr>
            <w:r>
              <w:rPr>
                <w:rFonts w:hint="eastAsia" w:ascii="宋体" w:hAnsi="宋体"/>
                <w:kern w:val="0"/>
                <w:szCs w:val="21"/>
                <w:lang w:val="en-US" w:eastAsia="zh-CN"/>
              </w:rPr>
              <w:t>/</w:t>
            </w:r>
          </w:p>
        </w:tc>
        <w:tc>
          <w:tcPr>
            <w:tcW w:w="113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r>
              <w:rPr>
                <w:rFonts w:hint="eastAsia" w:ascii="宋体" w:hAnsi="宋体"/>
                <w:kern w:val="0"/>
                <w:szCs w:val="21"/>
              </w:rPr>
              <w:t>产品内部不应凝露</w:t>
            </w:r>
          </w:p>
        </w:tc>
        <w:tc>
          <w:tcPr>
            <w:tcW w:w="1572"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c>
          <w:tcPr>
            <w:tcW w:w="1351" w:type="dxa"/>
            <w:vAlign w:val="center"/>
          </w:tcPr>
          <w:p>
            <w:pPr>
              <w:keepNext w:val="0"/>
              <w:keepLines w:val="0"/>
              <w:pageBreakBefore w:val="0"/>
              <w:widowControl/>
              <w:kinsoku/>
              <w:wordWrap w:val="0"/>
              <w:overflowPunct/>
              <w:topLinePunct w:val="0"/>
              <w:autoSpaceDE/>
              <w:autoSpaceDN/>
              <w:bidi w:val="0"/>
              <w:adjustRightInd/>
              <w:snapToGrid/>
              <w:jc w:val="both"/>
              <w:textAlignment w:val="auto"/>
              <w:rPr>
                <w:rFonts w:ascii="宋体" w:hAnsi="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表9.1：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both"/>
        <w:outlineLvl w:val="1"/>
        <w:rPr>
          <w:szCs w:val="21"/>
        </w:rPr>
      </w:pPr>
      <w:bookmarkStart w:id="13" w:name="_Toc19373"/>
      <w:bookmarkStart w:id="14" w:name="_Toc16553"/>
      <w:bookmarkStart w:id="15" w:name="_Toc2271"/>
      <w:r>
        <w:rPr>
          <w:rFonts w:hint="eastAsia" w:ascii="宋体" w:hAnsi="宋体"/>
          <w:szCs w:val="21"/>
        </w:rPr>
        <w:t>表</w:t>
      </w:r>
      <w:r>
        <w:rPr>
          <w:rFonts w:hint="eastAsia" w:ascii="宋体" w:hAnsi="宋体"/>
          <w:szCs w:val="21"/>
          <w:lang w:val="en-US" w:eastAsia="zh-CN"/>
        </w:rPr>
        <w:t>3</w:t>
      </w:r>
      <w:r>
        <w:rPr>
          <w:rFonts w:ascii="宋体" w:hAnsi="宋体"/>
          <w:szCs w:val="21"/>
        </w:rPr>
        <w:t>.</w:t>
      </w:r>
      <w:r>
        <w:rPr>
          <w:rFonts w:hint="eastAsia" w:ascii="宋体" w:hAnsi="宋体"/>
          <w:szCs w:val="21"/>
        </w:rPr>
        <w:t xml:space="preserve">1  </w:t>
      </w:r>
      <w:r>
        <w:rPr>
          <w:rFonts w:hint="eastAsia" w:ascii="宋体" w:hAnsi="宋体" w:eastAsia="宋体"/>
          <w:szCs w:val="21"/>
          <w:lang w:eastAsia="zh-CN"/>
        </w:rPr>
        <w:t>智能终端运维一体机（旗舰款）</w:t>
      </w:r>
      <w:r>
        <w:rPr>
          <w:rFonts w:hint="eastAsia" w:ascii="宋体" w:hAnsi="宋体" w:eastAsia="宋体"/>
          <w:szCs w:val="21"/>
        </w:rPr>
        <w:t>标准</w:t>
      </w:r>
      <w:r>
        <w:rPr>
          <w:rFonts w:ascii="宋体" w:hAnsi="宋体"/>
          <w:szCs w:val="21"/>
        </w:rPr>
        <w:t>技术</w:t>
      </w:r>
      <w:r>
        <w:rPr>
          <w:rFonts w:hint="eastAsia" w:ascii="宋体" w:hAnsi="宋体"/>
          <w:szCs w:val="21"/>
        </w:rPr>
        <w:t>特性</w:t>
      </w:r>
      <w:r>
        <w:rPr>
          <w:rFonts w:ascii="宋体" w:hAnsi="宋体"/>
          <w:szCs w:val="21"/>
        </w:rPr>
        <w:t>参数</w:t>
      </w:r>
      <w:r>
        <w:rPr>
          <w:rFonts w:hint="eastAsia" w:ascii="宋体" w:hAnsi="宋体" w:eastAsia="宋体" w:cs="宋体"/>
        </w:rPr>
        <w:t>和性能要求响应</w:t>
      </w:r>
      <w:r>
        <w:rPr>
          <w:rFonts w:ascii="宋体" w:hAnsi="宋体"/>
          <w:szCs w:val="21"/>
        </w:rPr>
        <w:t>表</w:t>
      </w:r>
      <w:r>
        <w:rPr>
          <w:rFonts w:hint="eastAsia"/>
          <w:szCs w:val="21"/>
        </w:rPr>
        <w:t>（投标方填写）</w:t>
      </w:r>
      <w:bookmarkEnd w:id="13"/>
      <w:bookmarkEnd w:id="14"/>
      <w:r>
        <w:rPr>
          <w:rFonts w:hint="eastAsia"/>
          <w:szCs w:val="21"/>
        </w:rPr>
        <w:t xml:space="preserve"> </w:t>
      </w:r>
    </w:p>
    <w:tbl>
      <w:tblPr>
        <w:tblStyle w:val="20"/>
        <w:tblW w:w="7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407"/>
        <w:gridCol w:w="2695"/>
        <w:gridCol w:w="1280"/>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99" w:type="dxa"/>
            <w:vAlign w:val="center"/>
          </w:tcPr>
          <w:p>
            <w:pPr>
              <w:widowControl/>
              <w:jc w:val="center"/>
              <w:rPr>
                <w:rFonts w:ascii="宋体" w:hAnsi="宋体"/>
                <w:b/>
                <w:kern w:val="0"/>
                <w:szCs w:val="21"/>
              </w:rPr>
            </w:pPr>
            <w:r>
              <w:rPr>
                <w:rFonts w:hint="eastAsia" w:ascii="宋体" w:hAnsi="宋体"/>
                <w:b/>
                <w:kern w:val="0"/>
                <w:szCs w:val="21"/>
              </w:rPr>
              <w:t>序号</w:t>
            </w:r>
          </w:p>
        </w:tc>
        <w:tc>
          <w:tcPr>
            <w:tcW w:w="1407"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项目</w:t>
            </w:r>
          </w:p>
        </w:tc>
        <w:tc>
          <w:tcPr>
            <w:tcW w:w="2695" w:type="dxa"/>
            <w:vAlign w:val="center"/>
          </w:tcPr>
          <w:p>
            <w:pPr>
              <w:widowControl/>
              <w:jc w:val="center"/>
              <w:rPr>
                <w:rFonts w:hint="default" w:ascii="宋体" w:hAnsi="宋体"/>
                <w:b/>
                <w:kern w:val="0"/>
                <w:szCs w:val="21"/>
                <w:lang w:val="en-US" w:eastAsia="zh-CN"/>
              </w:rPr>
            </w:pPr>
            <w:r>
              <w:rPr>
                <w:rFonts w:hint="eastAsia" w:ascii="宋体" w:hAnsi="宋体"/>
                <w:b/>
                <w:kern w:val="0"/>
                <w:szCs w:val="21"/>
                <w:lang w:eastAsia="zh-CN"/>
              </w:rPr>
              <w:t>项目要求值</w:t>
            </w:r>
          </w:p>
        </w:tc>
        <w:tc>
          <w:tcPr>
            <w:tcW w:w="1280" w:type="dxa"/>
            <w:vAlign w:val="center"/>
          </w:tcPr>
          <w:p>
            <w:pPr>
              <w:widowControl/>
              <w:jc w:val="center"/>
              <w:rPr>
                <w:rFonts w:hint="eastAsia" w:ascii="宋体" w:hAnsi="宋体"/>
                <w:b/>
                <w:kern w:val="0"/>
                <w:szCs w:val="21"/>
                <w:lang w:eastAsia="zh-CN"/>
              </w:rPr>
            </w:pPr>
            <w:r>
              <w:rPr>
                <w:rFonts w:hint="eastAsia" w:ascii="宋体" w:hAnsi="宋体"/>
                <w:b/>
                <w:kern w:val="0"/>
                <w:szCs w:val="21"/>
                <w:lang w:eastAsia="zh-CN"/>
              </w:rPr>
              <w:t>投标方</w:t>
            </w:r>
          </w:p>
          <w:p>
            <w:pPr>
              <w:widowControl/>
              <w:jc w:val="center"/>
              <w:rPr>
                <w:rFonts w:hint="eastAsia" w:ascii="宋体" w:hAnsi="宋体" w:eastAsia="宋体"/>
                <w:b/>
                <w:kern w:val="0"/>
                <w:szCs w:val="21"/>
                <w:lang w:eastAsia="zh-CN"/>
              </w:rPr>
            </w:pPr>
            <w:r>
              <w:rPr>
                <w:rFonts w:hint="eastAsia" w:ascii="宋体" w:hAnsi="宋体"/>
                <w:b/>
                <w:kern w:val="0"/>
                <w:szCs w:val="21"/>
                <w:lang w:eastAsia="zh-CN"/>
              </w:rPr>
              <w:t>保证值</w:t>
            </w:r>
          </w:p>
        </w:tc>
        <w:tc>
          <w:tcPr>
            <w:tcW w:w="1592"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cs="宋体"/>
                <w:bCs w:val="0"/>
                <w:kern w:val="2"/>
                <w:szCs w:val="21"/>
              </w:rPr>
            </w:pPr>
            <w:r>
              <w:rPr>
                <w:rFonts w:hint="eastAsia" w:ascii="宋体" w:hAnsi="宋体" w:cs="宋体"/>
                <w:szCs w:val="21"/>
              </w:rPr>
              <w:t>1</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处理器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CPU ≥16核24线程、最大频率不低于</w:t>
            </w:r>
            <w:r>
              <w:rPr>
                <w:rFonts w:hint="eastAsia" w:ascii="宋体" w:hAnsi="宋体" w:cs="宋体"/>
                <w:sz w:val="21"/>
                <w:szCs w:val="21"/>
                <w:lang w:val="en-US" w:eastAsia="zh-CN"/>
              </w:rPr>
              <w:t>5</w:t>
            </w:r>
            <w:r>
              <w:rPr>
                <w:rFonts w:hint="eastAsia" w:ascii="宋体" w:hAnsi="宋体" w:eastAsia="宋体" w:cs="宋体"/>
                <w:sz w:val="21"/>
                <w:szCs w:val="21"/>
              </w:rPr>
              <w:t>GHZ；</w:t>
            </w:r>
          </w:p>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 w:val="21"/>
                <w:szCs w:val="21"/>
                <w:lang w:eastAsia="zh-CN"/>
              </w:rPr>
              <w:t>（满足安全</w:t>
            </w:r>
            <w:r>
              <w:rPr>
                <w:rFonts w:hint="eastAsia" w:ascii="宋体" w:hAnsi="宋体" w:cs="宋体"/>
                <w:sz w:val="21"/>
                <w:szCs w:val="21"/>
                <w:lang w:val="en-US" w:eastAsia="zh-CN"/>
              </w:rPr>
              <w:t>管控</w:t>
            </w:r>
            <w:r>
              <w:rPr>
                <w:rFonts w:hint="eastAsia" w:ascii="宋体" w:hAnsi="宋体" w:cs="宋体"/>
                <w:sz w:val="21"/>
                <w:szCs w:val="21"/>
                <w:lang w:eastAsia="zh-CN"/>
              </w:rPr>
              <w:t>要求、适配国产化操作系统）</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2</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内存</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内存 ≥ 64G DDR4；</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3</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存储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固态硬盘存储 ≥ 2T，总存储 ≥ 1</w:t>
            </w:r>
            <w:r>
              <w:rPr>
                <w:rFonts w:hint="eastAsia" w:ascii="宋体" w:hAnsi="宋体" w:cs="宋体"/>
                <w:sz w:val="21"/>
                <w:szCs w:val="21"/>
                <w:lang w:val="en-US" w:eastAsia="zh-CN"/>
              </w:rPr>
              <w:t>0</w:t>
            </w:r>
            <w:r>
              <w:rPr>
                <w:rFonts w:hint="eastAsia" w:ascii="宋体" w:hAnsi="宋体" w:eastAsia="宋体" w:cs="宋体"/>
                <w:sz w:val="21"/>
                <w:szCs w:val="21"/>
              </w:rPr>
              <w:t>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显卡</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支持 AI 图像处理加速、实时光线追踪技术</w:t>
            </w:r>
            <w:r>
              <w:rPr>
                <w:rFonts w:hint="eastAsia" w:ascii="宋体" w:hAnsi="宋体" w:cs="宋体"/>
                <w:sz w:val="21"/>
                <w:szCs w:val="21"/>
                <w:lang w:eastAsia="zh-CN"/>
              </w:rPr>
              <w:t>；</w:t>
            </w:r>
            <w:r>
              <w:rPr>
                <w:rFonts w:hint="eastAsia" w:ascii="宋体" w:hAnsi="宋体" w:eastAsia="宋体" w:cs="宋体"/>
                <w:sz w:val="21"/>
                <w:szCs w:val="21"/>
              </w:rPr>
              <w:t>兼容主流图形渲染与机器学习开发框架（如 TensorFlow、PyTorch、CUDA 等）</w:t>
            </w:r>
            <w:r>
              <w:rPr>
                <w:rFonts w:hint="eastAsia" w:ascii="宋体" w:hAnsi="宋体" w:cs="宋体"/>
                <w:sz w:val="21"/>
                <w:szCs w:val="21"/>
                <w:lang w:eastAsia="zh-CN"/>
              </w:rPr>
              <w:t>；</w:t>
            </w:r>
            <w:r>
              <w:rPr>
                <w:rFonts w:hint="eastAsia" w:ascii="宋体" w:hAnsi="宋体" w:eastAsia="宋体" w:cs="宋体"/>
                <w:sz w:val="21"/>
                <w:szCs w:val="21"/>
              </w:rPr>
              <w:t>显存容量 ≥ 1</w:t>
            </w:r>
            <w:r>
              <w:rPr>
                <w:rFonts w:hint="eastAsia" w:ascii="宋体" w:hAnsi="宋体" w:cs="宋体"/>
                <w:sz w:val="21"/>
                <w:szCs w:val="21"/>
                <w:lang w:val="en-US" w:eastAsia="zh-CN"/>
              </w:rPr>
              <w:t>6</w:t>
            </w:r>
            <w:r>
              <w:rPr>
                <w:rFonts w:hint="eastAsia" w:ascii="宋体" w:hAnsi="宋体" w:eastAsia="宋体" w:cs="宋体"/>
                <w:sz w:val="21"/>
                <w:szCs w:val="21"/>
              </w:rPr>
              <w:t xml:space="preserve">GB，显存位宽 ≥ </w:t>
            </w:r>
            <w:r>
              <w:rPr>
                <w:rFonts w:hint="eastAsia" w:ascii="宋体" w:hAnsi="宋体" w:cs="宋体"/>
                <w:sz w:val="21"/>
                <w:szCs w:val="21"/>
                <w:lang w:val="en-US" w:eastAsia="zh-CN"/>
              </w:rPr>
              <w:t>256</w:t>
            </w:r>
            <w:r>
              <w:rPr>
                <w:rFonts w:hint="eastAsia" w:ascii="宋体" w:hAnsi="宋体" w:eastAsia="宋体" w:cs="宋体"/>
                <w:sz w:val="21"/>
                <w:szCs w:val="21"/>
              </w:rPr>
              <w:t>bit</w:t>
            </w:r>
            <w:r>
              <w:rPr>
                <w:rFonts w:hint="eastAsia" w:ascii="宋体" w:hAnsi="宋体" w:cs="宋体"/>
                <w:sz w:val="21"/>
                <w:szCs w:val="21"/>
                <w:lang w:eastAsia="zh-CN"/>
              </w:rPr>
              <w:t>，</w:t>
            </w:r>
            <w:r>
              <w:rPr>
                <w:rFonts w:hint="eastAsia" w:ascii="宋体" w:hAnsi="宋体" w:cs="宋体"/>
                <w:sz w:val="21"/>
                <w:szCs w:val="21"/>
                <w:lang w:val="en-US" w:eastAsia="zh-CN"/>
              </w:rPr>
              <w:t>核心数</w:t>
            </w:r>
            <w:r>
              <w:rPr>
                <w:rFonts w:hint="eastAsia" w:ascii="宋体" w:hAnsi="宋体" w:eastAsia="宋体" w:cs="宋体"/>
                <w:sz w:val="21"/>
                <w:szCs w:val="21"/>
              </w:rPr>
              <w:t>≥</w:t>
            </w:r>
            <w:r>
              <w:rPr>
                <w:rFonts w:hint="eastAsia" w:ascii="宋体" w:hAnsi="宋体" w:cs="宋体"/>
                <w:sz w:val="21"/>
                <w:szCs w:val="21"/>
                <w:lang w:val="en-US" w:eastAsia="zh-CN"/>
              </w:rPr>
              <w:t>10</w:t>
            </w:r>
            <w:r>
              <w:rPr>
                <w:rFonts w:hint="eastAsia" w:ascii="宋体" w:hAnsi="宋体" w:cs="宋体"/>
                <w:sz w:val="21"/>
                <w:szCs w:val="21"/>
                <w:lang w:eastAsia="zh-CN"/>
              </w:rPr>
              <w:t>000</w:t>
            </w:r>
            <w:r>
              <w:rPr>
                <w:rFonts w:hint="eastAsia" w:ascii="宋体" w:hAnsi="宋体" w:eastAsia="宋体" w:cs="宋体"/>
                <w:sz w:val="21"/>
                <w:szCs w:val="21"/>
              </w:rPr>
              <w: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5</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接口</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10G以太网电口≥1个，HDMI母口≥1个，USB3.0母口≥4个；</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6</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i w:val="0"/>
                <w:iCs w:val="0"/>
                <w:color w:val="auto"/>
                <w:kern w:val="2"/>
                <w:sz w:val="21"/>
                <w:szCs w:val="21"/>
                <w:u w:val="none"/>
                <w:lang w:val="en-US" w:eastAsia="zh-CN" w:bidi="ar"/>
              </w:rPr>
              <w:t>电源</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额定1000W以上电源，供电可支持拓展；</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restart"/>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i w:val="0"/>
                <w:iCs w:val="0"/>
                <w:color w:val="auto"/>
                <w:kern w:val="2"/>
                <w:sz w:val="21"/>
                <w:szCs w:val="21"/>
                <w:u w:val="none"/>
                <w:lang w:val="en-US" w:eastAsia="zh-CN" w:bidi="ar"/>
              </w:rPr>
              <w:t xml:space="preserve"> </w:t>
            </w:r>
            <w:r>
              <w:rPr>
                <w:rFonts w:hint="eastAsia" w:ascii="宋体" w:hAnsi="宋体" w:eastAsia="宋体" w:cs="宋体"/>
                <w:sz w:val="21"/>
                <w:szCs w:val="21"/>
              </w:rPr>
              <w:t>曲面外置显示屏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屏幕尺寸不低于 27英寸; 屏幕曲率：曲面屏，曲率不高于1500R; 屏幕分辨率：不低于3440x1440；</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continue"/>
            <w:vAlign w:val="center"/>
          </w:tcPr>
          <w:p>
            <w:pPr>
              <w:widowControl/>
              <w:jc w:val="center"/>
              <w:rPr>
                <w:rFonts w:hint="default" w:ascii="宋体" w:hAnsi="宋体" w:eastAsia="宋体" w:cs="宋体"/>
                <w:kern w:val="0"/>
                <w:szCs w:val="21"/>
                <w:lang w:val="en-US" w:eastAsia="zh-CN"/>
              </w:rPr>
            </w:pP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便携式外置显示屏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支持触摸屏；屏幕比例16：9；屏幕尺寸≥14英寸；屏幕分辨率≥1920×1080；屏幕刷新率≥60Hz；MINIHDMI母口≥1，全功能TYPE-C≥1；</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407" w:type="dxa"/>
            <w:vAlign w:val="center"/>
          </w:tcPr>
          <w:p>
            <w:pPr>
              <w:keepNext w:val="0"/>
              <w:keepLines w:val="0"/>
              <w:widowControl/>
              <w:suppressLineNumbers w:val="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其他外设</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无线蓝牙键鼠</w:t>
            </w:r>
            <w:r>
              <w:rPr>
                <w:rFonts w:hint="eastAsia" w:ascii="宋体" w:hAnsi="宋体" w:cs="宋体"/>
                <w:sz w:val="21"/>
                <w:szCs w:val="21"/>
                <w:lang w:eastAsia="zh-CN"/>
              </w:rPr>
              <w:t>、多功能拓展坞、4G移动路由器</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799" w:type="dxa"/>
            <w:vAlign w:val="center"/>
          </w:tcPr>
          <w:p>
            <w:pPr>
              <w:widowControl/>
              <w:jc w:val="center"/>
              <w:rPr>
                <w:rFonts w:hint="eastAsia" w:ascii="宋体" w:hAnsi="宋体" w:eastAsia="宋体" w:cs="宋体"/>
                <w:bCs/>
                <w:kern w:val="0"/>
                <w:szCs w:val="21"/>
                <w:lang w:eastAsia="zh-CN"/>
              </w:rPr>
            </w:pPr>
            <w:r>
              <w:rPr>
                <w:rFonts w:hint="eastAsia" w:ascii="宋体" w:hAnsi="宋体" w:cs="宋体"/>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基本功能</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软件具备集统一组织管理、身份管理、身份认证、参数管理、应用管理、日志审计能力；</w:t>
            </w:r>
          </w:p>
        </w:tc>
        <w:tc>
          <w:tcPr>
            <w:tcW w:w="1280" w:type="dxa"/>
            <w:vAlign w:val="center"/>
          </w:tcPr>
          <w:p>
            <w:pPr>
              <w:widowControl/>
              <w:jc w:val="both"/>
              <w:rPr>
                <w:rFonts w:hint="eastAsia" w:ascii="宋体" w:hAnsi="宋体" w:eastAsia="宋体" w:cs="宋体"/>
                <w:kern w:val="2"/>
                <w:sz w:val="21"/>
                <w:szCs w:val="21"/>
                <w:highlight w:val="yellow"/>
                <w:lang w:val="en-US" w:eastAsia="zh-CN" w:bidi="ar-SA"/>
              </w:rPr>
            </w:pPr>
          </w:p>
        </w:tc>
        <w:tc>
          <w:tcPr>
            <w:tcW w:w="1592" w:type="dxa"/>
            <w:vAlign w:val="center"/>
          </w:tcPr>
          <w:p>
            <w:pPr>
              <w:widowControl/>
              <w:jc w:val="both"/>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08" w:hRule="atLeast"/>
          <w:jc w:val="center"/>
        </w:trPr>
        <w:tc>
          <w:tcPr>
            <w:tcW w:w="799"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cs="Times New Roman"/>
                <w:color w:val="auto"/>
                <w:kern w:val="2"/>
                <w:sz w:val="21"/>
                <w:szCs w:val="21"/>
                <w:highlight w:val="none"/>
                <w:lang w:val="en-US" w:eastAsia="zh-CN" w:bidi="ar-SA"/>
              </w:rPr>
              <w:t>航线规划模块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lang w:val="en-US" w:eastAsia="zh-CN"/>
              </w:rPr>
              <w:t>基于输电杆塔坐标分布或历史工程台账，自动配准三维高精度点云数据所属线路台账和杆塔区位；基于点云数据拍摄目标，结合无人机的航向、经纬度、高程、云台角度、变焦倍数，实现航线规划；</w:t>
            </w:r>
          </w:p>
        </w:tc>
        <w:tc>
          <w:tcPr>
            <w:tcW w:w="1280" w:type="dxa"/>
            <w:vAlign w:val="center"/>
          </w:tcPr>
          <w:p>
            <w:pPr>
              <w:widowControl/>
              <w:jc w:val="both"/>
              <w:rPr>
                <w:rFonts w:hint="eastAsia" w:ascii="宋体" w:hAnsi="宋体" w:eastAsia="宋体" w:cs="宋体"/>
                <w:kern w:val="2"/>
                <w:sz w:val="21"/>
                <w:szCs w:val="21"/>
                <w:lang w:val="en-US" w:eastAsia="zh-CN" w:bidi="ar-SA"/>
              </w:rPr>
            </w:pPr>
          </w:p>
        </w:tc>
        <w:tc>
          <w:tcPr>
            <w:tcW w:w="1592" w:type="dxa"/>
            <w:vAlign w:val="center"/>
          </w:tcPr>
          <w:p>
            <w:pPr>
              <w:widowControl/>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点云文件导入</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支持标准的LAS文件导入到系统中，并能检测LAS文件的合规性；</w:t>
            </w:r>
          </w:p>
        </w:tc>
        <w:tc>
          <w:tcPr>
            <w:tcW w:w="1280" w:type="dxa"/>
            <w:vAlign w:val="center"/>
          </w:tcPr>
          <w:p>
            <w:pPr>
              <w:widowControl/>
              <w:jc w:val="both"/>
              <w:rPr>
                <w:rFonts w:ascii="宋体" w:hAnsi="宋体" w:cs="宋体"/>
                <w:szCs w:val="21"/>
                <w:highlight w:val="yellow"/>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修改点云信息</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点击可修改文件信息，如文件名称、UTM信息；</w:t>
            </w:r>
          </w:p>
        </w:tc>
        <w:tc>
          <w:tcPr>
            <w:tcW w:w="1280" w:type="dxa"/>
            <w:vAlign w:val="center"/>
          </w:tcPr>
          <w:p>
            <w:pPr>
              <w:widowControl/>
              <w:jc w:val="both"/>
              <w:rPr>
                <w:rFonts w:ascii="宋体" w:hAnsi="宋体" w:cs="宋体"/>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删除点云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勾选一条或多条文件，点击删除按钮，可以删除文件；</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000000"/>
                <w:sz w:val="21"/>
                <w:szCs w:val="21"/>
                <w:highlight w:val="yellow"/>
                <w:lang w:eastAsia="zh-CN"/>
              </w:rPr>
            </w:pPr>
            <w:r>
              <w:rPr>
                <w:rFonts w:hint="eastAsia" w:ascii="Times New Roman" w:hAnsi="Times New Roman" w:eastAsia="宋体" w:cs="Times New Roman"/>
                <w:color w:val="auto"/>
                <w:kern w:val="2"/>
                <w:sz w:val="21"/>
                <w:szCs w:val="21"/>
                <w:highlight w:val="none"/>
                <w:lang w:val="en-US" w:eastAsia="zh-CN" w:bidi="ar-SA"/>
              </w:rPr>
              <w:t>下载点云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点击可下载点云文件；</w:t>
            </w:r>
          </w:p>
        </w:tc>
        <w:tc>
          <w:tcPr>
            <w:tcW w:w="1280" w:type="dxa"/>
            <w:vAlign w:val="center"/>
          </w:tcPr>
          <w:p>
            <w:pPr>
              <w:widowControl/>
              <w:jc w:val="both"/>
              <w:rPr>
                <w:rFonts w:hint="eastAsia" w:ascii="宋体" w:hAnsi="宋体" w:eastAsia="宋体" w:cs="宋体"/>
                <w:sz w:val="21"/>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复制点云</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复制一份点云文件副本；</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电压等级设置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设置规划线路的电压等级；</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.8</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所属线路绑定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持获取南网设备中心的线路台账信息并与工程绑定；</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可根据高程、分类和彩色类型展示点云；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标记杆塔</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通过鼠标点击快速标记点云中的杆塔位置；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KML导入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支持导入杆塔的KML文件自动标记杆塔；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可对杆塔批量命名；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杆塔台账绑定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获取南网设备中心的杆塔台账信息并支持绑定标记杆塔；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基于展示的点云标记无人机的拍摄点位；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编辑拍摄点的同时自动生成该拍摄点的无人机航点位置；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航点默认距离设置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可设置航点距拍摄点的默认距离；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机身朝向设置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可设置每个航点中无人机的机身朝向角度；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云台角度设置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可设置每个航点中无人机的云台角度；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一点多拍设置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支持在同一航点上进行至少2个拍照动作设置；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辅助点标记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可将普通航点转换为辅助点；</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基于常规杆塔结构对拍摄点进行预定义名称命名；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航点删除</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对航点及对应的拍摄点进行删除；</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航点顺序调整</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调整航点的顺序，拖动航点调整，支持逆序调整；</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支持选择</w:t>
            </w:r>
            <w:r>
              <w:rPr>
                <w:rFonts w:hint="eastAsia" w:ascii="Times New Roman" w:hAnsi="Times New Roman" w:cs="Times New Roman"/>
                <w:color w:val="auto"/>
                <w:kern w:val="2"/>
                <w:sz w:val="21"/>
                <w:szCs w:val="21"/>
                <w:highlight w:val="none"/>
                <w:lang w:val="en-US" w:eastAsia="zh-CN" w:bidi="ar-SA"/>
              </w:rPr>
              <w:t>单个</w:t>
            </w:r>
            <w:r>
              <w:rPr>
                <w:rFonts w:hint="eastAsia" w:ascii="Times New Roman" w:hAnsi="Times New Roman" w:eastAsia="宋体" w:cs="Times New Roman"/>
                <w:color w:val="auto"/>
                <w:kern w:val="2"/>
                <w:sz w:val="21"/>
                <w:szCs w:val="21"/>
                <w:highlight w:val="none"/>
                <w:lang w:val="en-US" w:eastAsia="zh-CN" w:bidi="ar-SA"/>
              </w:rPr>
              <w:t>航点进行复制；</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风险检测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根据设置的安全距离检测规划的航线的安全性；</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支持KML、KMZ航线文件的导入；</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生成KML、KMZ航线并导出；</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10.28</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复制杆塔部件航线到其他杆塔；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cs="Times New Roman"/>
                <w:color w:val="auto"/>
                <w:kern w:val="2"/>
                <w:sz w:val="21"/>
                <w:szCs w:val="21"/>
                <w:highlight w:val="none"/>
                <w:lang w:val="en-US" w:eastAsia="zh-CN" w:bidi="ar-SA"/>
              </w:rPr>
              <w:t>点云分析模块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支持点云安全距离分析，支持架空线路导线、杆塔、植被、地面等地物类别分类，参照相应的输电线路安全运行规程自动对距离小于安全距离的区域进行分析，生成树障等空间距离不足隐患报告；支持点云工况分析，支持根据输入的不同工况参数（环境温度、风速等）信息，重新计算导线弧垂位置和缺陷隐患点并进行动态展示，同时自动生成在线报告，报告支持Word、PDF格式导出；支持点云对象分析：利用激光点云数据对杆塔的使用档距、全塔高等信息进行分析；支持云端数据归档，点云模型分析后的树障隐患信息支持通过接口回传至云端机巡智测管理模块；</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支持设备本体点云分类结果展示</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手动或自动分类后，支持输电线路设备本体包括杆塔、电力线、架空地线的点云分类结果展示，不同设备可以区分；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支持走廊通道点云分类结果展示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手动或自动分类后，支持走廊通道包括植被、地面、建筑物的点云分类结果展示，不同地物可以区分；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手动或自动分类后，支持输电线路设备本体杆塔高度量测、档距量测；</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手动或自动分类后，支持走廊通道地物距离线路距离；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支持树障分析功能，在当前工况下勾选需要分析的杆段，开展树障隐患分析；</w:t>
            </w:r>
          </w:p>
        </w:tc>
        <w:tc>
          <w:tcPr>
            <w:tcW w:w="1280" w:type="dxa"/>
            <w:vAlign w:val="center"/>
          </w:tcPr>
          <w:p>
            <w:pPr>
              <w:widowControl/>
              <w:jc w:val="both"/>
              <w:rPr>
                <w:rFonts w:hint="eastAsia" w:ascii="宋体" w:hAnsi="宋体" w:eastAsia="宋体" w:cs="宋体"/>
                <w:b/>
                <w:bCs/>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支持提供树障安全距离标准要求</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按照电压等级展示导线对植被垂直、水平、净空安全距离标准要求；</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支持树障空间距离实测计算</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按照点云自动计算导线对植被垂直、水平、净空距离计算值，计算精度达到0.2m；</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支持树障隐患严重程度判断</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按照点云自动计算导线对植被垂直、水平、净空距离，评估树障隐患严重程度；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支持树障隐患平面显示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支持根据点云计算结果平面显示树障位置；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支持树障报告下载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支持点云计算结果出具树障分析报告并可下载报告；</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支持高温工况分析功能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支持调整导线温度显示导线弧垂变化及安全距离计算；</w:t>
            </w:r>
          </w:p>
        </w:tc>
        <w:tc>
          <w:tcPr>
            <w:tcW w:w="1280" w:type="dxa"/>
            <w:vAlign w:val="center"/>
          </w:tcPr>
          <w:p>
            <w:pPr>
              <w:widowControl/>
              <w:jc w:val="both"/>
              <w:rPr>
                <w:rFonts w:hint="eastAsia" w:ascii="Times New Roman" w:hAnsi="Times New Roman" w:eastAsia="宋体" w:cs="Times New Roman"/>
                <w:b/>
                <w:bCs/>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支持风偏工况分析功能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支持调整风速计算导线风偏显示导线弧垂变化及安全距离计算；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支持覆冰工况分析功能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支持调整覆冰厚度计算导线弧垂变化及安全距离计算；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支持调整温度、风速等复杂工况计算导线弧垂变化及安全距离计算；</w:t>
            </w:r>
          </w:p>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支持综合工况分析三维展示功能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支持调整温度、风速等复杂工况计算并基于导线弧垂变化进行三维展示；</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支持综合工况分析报告下载功能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支持调整温度、风速等复杂工况计算并出具复杂工况计算报告并支持下载；</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支持云端数据归档功能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点云模型分析后的树障隐患信息支持导入至云端机巡智测管理模块；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53"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szCs w:val="21"/>
                <w:highlight w:val="none"/>
                <w:lang w:val="en-US" w:eastAsia="zh-CN"/>
              </w:rPr>
              <w:t>图像</w:t>
            </w:r>
            <w:r>
              <w:rPr>
                <w:rFonts w:hint="eastAsia" w:ascii="Times New Roman" w:hAnsi="Times New Roman" w:eastAsia="宋体" w:cs="Times New Roman"/>
                <w:color w:val="auto"/>
                <w:szCs w:val="21"/>
                <w:highlight w:val="none"/>
                <w:lang w:val="en-US" w:eastAsia="zh-CN"/>
              </w:rPr>
              <w:t>自动</w:t>
            </w:r>
            <w:r>
              <w:rPr>
                <w:rFonts w:hint="eastAsia" w:ascii="Times New Roman" w:hAnsi="Times New Roman" w:cs="Times New Roman"/>
                <w:color w:val="auto"/>
                <w:szCs w:val="21"/>
                <w:highlight w:val="none"/>
                <w:lang w:val="en-US" w:eastAsia="zh-CN"/>
              </w:rPr>
              <w:t>分塔</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支持以任务维度查看自动回传的巡检图像，照片以杆塔维度完成自动分类归档；</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szCs w:val="21"/>
                <w:highlight w:val="none"/>
                <w:lang w:val="en-US" w:eastAsia="zh-CN"/>
              </w:rPr>
              <w:t>可见光图像分析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导入可见光图像，手动选定设备缺陷定级标准，并标注缺陷区域；支持通过智能算法辅助识别绝缘子自爆、鸟巢、异物等典型缺陷；支持人工修定智能算法辅助识别缺陷，支持人工缺陷确认后自动生成在线报告，报告支持Word、PDF格式导出；</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szCs w:val="21"/>
                <w:highlight w:val="none"/>
                <w:lang w:val="en-US" w:eastAsia="zh-CN"/>
              </w:rPr>
              <w:t>红外图像分析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支持导入无人机红外相机拍摄图像，自动识别最高点温度，并自动标注其位置与温度值；支持基于红外图像手动标点识别温度；支持基于红外图像手动选区识别最高点温度；</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szCs w:val="21"/>
                <w:highlight w:val="none"/>
                <w:lang w:val="en-US" w:eastAsia="zh-CN"/>
              </w:rPr>
              <w:t>照片复核</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支持手动标记缺陷，判断巡检照片的缺陷类型和缺陷识别结果准确性；</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highlight w:val="none"/>
                <w:lang w:val="en-US" w:eastAsia="zh-CN"/>
              </w:rPr>
              <w:t>缺陷描述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支持根据缺陷表象添加缺陷描述，并手动标记缺陷，备注缺陷类型和缺陷等级等；</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highlight w:val="none"/>
                <w:lang w:val="en-US" w:eastAsia="zh-CN"/>
              </w:rPr>
              <w:t>缺陷标准库</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szCs w:val="21"/>
                <w:highlight w:val="none"/>
                <w:lang w:val="en-US" w:eastAsia="zh-CN"/>
              </w:rPr>
              <w:t>本地保存缺陷标准库，支持根据标准缺陷内容，选定缺陷评价；</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12.7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Cs w:val="21"/>
                <w:highlight w:val="none"/>
                <w:lang w:val="en-US" w:eastAsia="zh-CN"/>
              </w:rPr>
              <w:t>缺陷保存</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szCs w:val="21"/>
                <w:highlight w:val="none"/>
                <w:lang w:val="en-US" w:eastAsia="zh-CN"/>
              </w:rPr>
              <w:t>支持保存复核确认的缺陷，并生成巡检报告；</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szCs w:val="21"/>
                <w:highlight w:val="none"/>
                <w:lang w:val="en-US" w:eastAsia="zh-CN"/>
              </w:rPr>
              <w:t>云端数据归档</w:t>
            </w:r>
          </w:p>
        </w:tc>
        <w:tc>
          <w:tcPr>
            <w:tcW w:w="2695" w:type="dxa"/>
            <w:vAlign w:val="center"/>
          </w:tcPr>
          <w:p>
            <w:pPr>
              <w:pStyle w:val="9"/>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szCs w:val="21"/>
                <w:highlight w:val="none"/>
                <w:lang w:val="en-US" w:eastAsia="zh-CN"/>
              </w:rPr>
              <w:t>图像分析复核后的缺陷信息支持导入云端机巡智图管理模块；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台账数据管理</w:t>
            </w:r>
          </w:p>
        </w:tc>
        <w:tc>
          <w:tcPr>
            <w:tcW w:w="2695" w:type="dxa"/>
            <w:vAlign w:val="center"/>
          </w:tcPr>
          <w:p>
            <w:pPr>
              <w:pStyle w:val="18"/>
              <w:keepNext w:val="0"/>
              <w:keepLines w:val="0"/>
              <w:widowControl/>
              <w:suppressLineNumbers w:val="0"/>
              <w:ind w:left="0" w:leftChars="0" w:right="0" w:rightChars="0"/>
              <w:jc w:val="both"/>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提供输电线路设备台账管理功能，支持台账查询、导入导出等操作；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可见光照片数据管理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提供可见光照片数据文件上传及命名功能，支持关联线路杆塔进行存储，支持可见光照片在线浏览、删除、下载操作；</w:t>
            </w:r>
          </w:p>
        </w:tc>
        <w:tc>
          <w:tcPr>
            <w:tcW w:w="1280" w:type="dxa"/>
            <w:vAlign w:val="center"/>
          </w:tcPr>
          <w:p>
            <w:pPr>
              <w:widowControl/>
              <w:jc w:val="both"/>
              <w:rPr>
                <w:rFonts w:hint="eastAsia" w:ascii="宋体" w:hAnsi="宋体" w:eastAsia="宋体" w:cs="宋体"/>
                <w:color w:val="auto"/>
                <w:kern w:val="2"/>
                <w:sz w:val="21"/>
                <w:szCs w:val="21"/>
                <w:highlight w:val="yellow"/>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红外照片数据管理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提供红外照片数据文件上传及命名功能，支持关联线路杆塔进行存储，支持红外照片在线浏览、删除、下载操作；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提供点云数据文件上传及命名功能，支持关联线路台账进行存储，支持点云数据文件删除、下载操作；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highlight w:val="yellow"/>
                <w:lang w:val="en-US" w:eastAsia="zh-CN" w:bidi="ar"/>
              </w:rPr>
            </w:pPr>
            <w:r>
              <w:rPr>
                <w:rFonts w:hint="eastAsia" w:ascii="Times New Roman" w:hAnsi="Times New Roman" w:eastAsia="宋体" w:cs="Times New Roman"/>
                <w:color w:val="auto"/>
                <w:kern w:val="2"/>
                <w:sz w:val="21"/>
                <w:szCs w:val="21"/>
                <w:highlight w:val="none"/>
                <w:lang w:val="en-US" w:eastAsia="zh-CN" w:bidi="ar-SA"/>
              </w:rPr>
              <w:t>图档资料管理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提供图档资料文件上传及命名功能，支持图档资料文件删除、下载操作；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数据复制和移动</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支持复制数据副本和选择新目录移动文件等操作；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13.7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数据同步云平台</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一体机接入内网环境情况下，支持一键同步云平台操作。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设备连接显示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显示已经部署完成的全部设备连接数；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14.2</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支持无线网络路由接入；</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支持将无人机遥控器通过Type-C转接头，有线网络与一体机通信；</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无人机地面站控制功能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支持以地面站程序形式控制机巢无人机，下发控制指令或航线文件，控制无人机完成指定飞行动作，并采集数据信息；</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无人机任务管理</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按时间顺序排列无人机巡检任务队列，展示任务详情，支持任务编辑、修改和下发；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巡检任务类型</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支持精细化巡检；</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执行航线选取</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支持本地文件库选取规划的航线下发；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14.8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任务创建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可自定义任务名称、执行的航线杆塔范围；</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任务下发</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支持查看设备的连接状况，将巡检任务下发给指定无人机执行；</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模拟飞行</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系统可执行模拟飞行，展示任务效果；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飞行参数</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支持设置飞行高度、飞行速度等巡检参数；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实时监控</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飞行过程实时展示电池电量、飞行速度、飞行高度等动态数据；</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轨迹展示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展示无人机飞行的动态航线轨迹路径；</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视频展示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展示无人机的云台现场视频画面；</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14.15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数据集成</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支持利用APN卡将巡检的结果数据回传至机巡云巢系统，巡检数据支持与南网统一机巡平台集成应用</w:t>
            </w:r>
            <w:r>
              <w:rPr>
                <w:rFonts w:hint="eastAsia" w:cs="Times New Roman"/>
                <w:color w:val="auto"/>
                <w:kern w:val="2"/>
                <w:sz w:val="21"/>
                <w:szCs w:val="21"/>
                <w:highlight w:val="none"/>
                <w:lang w:val="en-US" w:eastAsia="zh-CN" w:bidi="ar-SA"/>
              </w:rPr>
              <w:t>。</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bl>
    <w:p>
      <w:pPr>
        <w:jc w:val="left"/>
        <w:rPr>
          <w:rFonts w:hint="eastAsia" w:ascii="宋体" w:hAnsi="宋体"/>
          <w:szCs w:val="21"/>
        </w:rPr>
      </w:pPr>
    </w:p>
    <w:p>
      <w:pPr>
        <w:jc w:val="both"/>
        <w:outlineLvl w:val="1"/>
        <w:rPr>
          <w:rFonts w:ascii="宋体" w:hAnsi="宋体"/>
          <w:szCs w:val="21"/>
        </w:rPr>
      </w:pPr>
      <w:bookmarkStart w:id="16" w:name="_Toc23849"/>
      <w:bookmarkStart w:id="17" w:name="_Toc22138"/>
      <w:r>
        <w:rPr>
          <w:rFonts w:hint="eastAsia" w:ascii="宋体" w:hAnsi="宋体"/>
          <w:szCs w:val="21"/>
          <w:lang w:eastAsia="zh-CN"/>
        </w:rPr>
        <w:t>表3</w:t>
      </w:r>
      <w:r>
        <w:rPr>
          <w:rFonts w:ascii="宋体" w:hAnsi="宋体"/>
          <w:szCs w:val="21"/>
        </w:rPr>
        <w:t>.</w:t>
      </w:r>
      <w:r>
        <w:rPr>
          <w:rFonts w:hint="eastAsia" w:ascii="宋体" w:hAnsi="宋体"/>
          <w:szCs w:val="21"/>
          <w:lang w:val="en-US" w:eastAsia="zh-CN"/>
        </w:rPr>
        <w:t>2</w:t>
      </w:r>
      <w:r>
        <w:rPr>
          <w:rFonts w:hint="eastAsia" w:ascii="宋体" w:hAnsi="宋体"/>
          <w:szCs w:val="21"/>
        </w:rPr>
        <w:t xml:space="preserve"> </w:t>
      </w:r>
      <w:r>
        <w:rPr>
          <w:rFonts w:hint="eastAsia" w:ascii="宋体" w:hAnsi="宋体" w:eastAsia="宋体"/>
          <w:szCs w:val="21"/>
        </w:rPr>
        <w:t xml:space="preserve"> </w:t>
      </w:r>
      <w:r>
        <w:rPr>
          <w:rFonts w:hint="eastAsia" w:ascii="宋体" w:hAnsi="宋体" w:eastAsia="宋体"/>
          <w:szCs w:val="21"/>
          <w:lang w:eastAsia="zh-CN"/>
        </w:rPr>
        <w:t>智能终端运维一体机（普通款A）</w:t>
      </w:r>
      <w:r>
        <w:rPr>
          <w:rFonts w:hint="eastAsia" w:ascii="宋体" w:hAnsi="宋体" w:eastAsia="宋体"/>
          <w:szCs w:val="21"/>
        </w:rPr>
        <w:t>标准</w:t>
      </w:r>
      <w:r>
        <w:rPr>
          <w:rFonts w:ascii="宋体" w:hAnsi="宋体" w:eastAsia="宋体"/>
          <w:szCs w:val="21"/>
        </w:rPr>
        <w:t>技术</w:t>
      </w:r>
      <w:r>
        <w:rPr>
          <w:rFonts w:hint="eastAsia" w:ascii="宋体" w:hAnsi="宋体" w:eastAsia="宋体"/>
          <w:szCs w:val="21"/>
        </w:rPr>
        <w:t>特性</w:t>
      </w:r>
      <w:r>
        <w:rPr>
          <w:rFonts w:ascii="宋体" w:hAnsi="宋体" w:eastAsia="宋体"/>
          <w:szCs w:val="21"/>
        </w:rPr>
        <w:t>参数</w:t>
      </w:r>
      <w:r>
        <w:rPr>
          <w:rFonts w:hint="eastAsia" w:ascii="宋体" w:hAnsi="宋体" w:eastAsia="宋体"/>
          <w:szCs w:val="21"/>
        </w:rPr>
        <w:t>和性</w:t>
      </w:r>
      <w:r>
        <w:rPr>
          <w:rFonts w:hint="eastAsia" w:ascii="宋体" w:hAnsi="宋体" w:eastAsia="宋体" w:cs="宋体"/>
        </w:rPr>
        <w:t>能要求响应</w:t>
      </w:r>
      <w:r>
        <w:rPr>
          <w:rFonts w:ascii="宋体" w:hAnsi="宋体"/>
          <w:szCs w:val="21"/>
        </w:rPr>
        <w:t>表</w:t>
      </w:r>
      <w:r>
        <w:rPr>
          <w:rFonts w:hint="eastAsia"/>
          <w:szCs w:val="21"/>
        </w:rPr>
        <w:t>（投标方填写）</w:t>
      </w:r>
      <w:bookmarkEnd w:id="16"/>
      <w:bookmarkEnd w:id="17"/>
    </w:p>
    <w:tbl>
      <w:tblPr>
        <w:tblStyle w:val="20"/>
        <w:tblW w:w="7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407"/>
        <w:gridCol w:w="2695"/>
        <w:gridCol w:w="1280"/>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99" w:type="dxa"/>
            <w:vAlign w:val="center"/>
          </w:tcPr>
          <w:p>
            <w:pPr>
              <w:widowControl/>
              <w:jc w:val="center"/>
              <w:rPr>
                <w:rFonts w:ascii="宋体" w:hAnsi="宋体"/>
                <w:b/>
                <w:kern w:val="0"/>
                <w:szCs w:val="21"/>
              </w:rPr>
            </w:pPr>
            <w:r>
              <w:rPr>
                <w:rFonts w:hint="eastAsia" w:ascii="宋体" w:hAnsi="宋体"/>
                <w:b/>
                <w:kern w:val="0"/>
                <w:szCs w:val="21"/>
              </w:rPr>
              <w:t>序号</w:t>
            </w:r>
          </w:p>
        </w:tc>
        <w:tc>
          <w:tcPr>
            <w:tcW w:w="1407"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项目</w:t>
            </w:r>
          </w:p>
        </w:tc>
        <w:tc>
          <w:tcPr>
            <w:tcW w:w="2695" w:type="dxa"/>
            <w:vAlign w:val="center"/>
          </w:tcPr>
          <w:p>
            <w:pPr>
              <w:widowControl/>
              <w:jc w:val="center"/>
              <w:rPr>
                <w:rFonts w:hint="default" w:ascii="宋体" w:hAnsi="宋体"/>
                <w:b/>
                <w:kern w:val="0"/>
                <w:szCs w:val="21"/>
                <w:lang w:val="en-US" w:eastAsia="zh-CN"/>
              </w:rPr>
            </w:pPr>
            <w:r>
              <w:rPr>
                <w:rFonts w:hint="eastAsia" w:ascii="宋体" w:hAnsi="宋体"/>
                <w:b/>
                <w:kern w:val="0"/>
                <w:szCs w:val="21"/>
                <w:lang w:eastAsia="zh-CN"/>
              </w:rPr>
              <w:t>项目要求值</w:t>
            </w:r>
          </w:p>
        </w:tc>
        <w:tc>
          <w:tcPr>
            <w:tcW w:w="1280" w:type="dxa"/>
            <w:vAlign w:val="center"/>
          </w:tcPr>
          <w:p>
            <w:pPr>
              <w:widowControl/>
              <w:jc w:val="center"/>
              <w:rPr>
                <w:rFonts w:hint="eastAsia" w:ascii="宋体" w:hAnsi="宋体"/>
                <w:b/>
                <w:kern w:val="0"/>
                <w:szCs w:val="21"/>
                <w:lang w:eastAsia="zh-CN"/>
              </w:rPr>
            </w:pPr>
            <w:r>
              <w:rPr>
                <w:rFonts w:hint="eastAsia" w:ascii="宋体" w:hAnsi="宋体"/>
                <w:b/>
                <w:kern w:val="0"/>
                <w:szCs w:val="21"/>
                <w:lang w:eastAsia="zh-CN"/>
              </w:rPr>
              <w:t>投标方</w:t>
            </w:r>
          </w:p>
          <w:p>
            <w:pPr>
              <w:widowControl/>
              <w:jc w:val="center"/>
              <w:rPr>
                <w:rFonts w:hint="eastAsia" w:ascii="宋体" w:hAnsi="宋体" w:eastAsia="宋体"/>
                <w:b/>
                <w:kern w:val="0"/>
                <w:szCs w:val="21"/>
                <w:lang w:eastAsia="zh-CN"/>
              </w:rPr>
            </w:pPr>
            <w:r>
              <w:rPr>
                <w:rFonts w:hint="eastAsia" w:ascii="宋体" w:hAnsi="宋体"/>
                <w:b/>
                <w:kern w:val="0"/>
                <w:szCs w:val="21"/>
                <w:lang w:eastAsia="zh-CN"/>
              </w:rPr>
              <w:t>保证值</w:t>
            </w:r>
          </w:p>
        </w:tc>
        <w:tc>
          <w:tcPr>
            <w:tcW w:w="1592"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cs="宋体"/>
                <w:bCs w:val="0"/>
                <w:kern w:val="2"/>
                <w:szCs w:val="21"/>
              </w:rPr>
            </w:pPr>
            <w:r>
              <w:rPr>
                <w:rFonts w:hint="eastAsia" w:ascii="宋体" w:hAnsi="宋体" w:cs="宋体"/>
                <w:szCs w:val="21"/>
              </w:rPr>
              <w:t>1</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处理器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CPU ≥ 8核16线程、最大频率不低于2.5GHZ；</w:t>
            </w:r>
          </w:p>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（满足安全</w:t>
            </w:r>
            <w:r>
              <w:rPr>
                <w:rFonts w:hint="eastAsia" w:ascii="宋体" w:hAnsi="宋体" w:cs="宋体"/>
                <w:sz w:val="21"/>
                <w:szCs w:val="21"/>
                <w:lang w:val="en-US" w:eastAsia="zh-CN"/>
              </w:rPr>
              <w:t>管控</w:t>
            </w:r>
            <w:r>
              <w:rPr>
                <w:rFonts w:hint="eastAsia" w:ascii="宋体" w:hAnsi="宋体" w:cs="宋体"/>
                <w:sz w:val="21"/>
                <w:szCs w:val="21"/>
                <w:lang w:eastAsia="zh-CN"/>
              </w:rPr>
              <w:t>要求、适配国产化操作系统）</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2</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内存</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内存 ≥ 32G DDR4；</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3</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存储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 xml:space="preserve">固态存储容量 ≥ 2T，总存储 ≥ </w:t>
            </w:r>
            <w:r>
              <w:rPr>
                <w:rFonts w:hint="eastAsia" w:ascii="宋体" w:hAnsi="宋体" w:cs="宋体"/>
                <w:sz w:val="21"/>
                <w:szCs w:val="21"/>
                <w:lang w:val="en-US" w:eastAsia="zh-CN"/>
              </w:rPr>
              <w:t>4</w:t>
            </w:r>
            <w:r>
              <w:rPr>
                <w:rFonts w:hint="eastAsia" w:ascii="宋体" w:hAnsi="宋体" w:eastAsia="宋体" w:cs="宋体"/>
                <w:sz w:val="21"/>
                <w:szCs w:val="21"/>
              </w:rPr>
              <w:t>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显卡</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支持 AI 图像处理加速、实时光线追踪技术</w:t>
            </w:r>
            <w:r>
              <w:rPr>
                <w:rFonts w:hint="eastAsia" w:ascii="宋体" w:hAnsi="宋体" w:cs="宋体"/>
                <w:sz w:val="21"/>
                <w:szCs w:val="21"/>
                <w:lang w:eastAsia="zh-CN"/>
              </w:rPr>
              <w:t>；</w:t>
            </w:r>
            <w:r>
              <w:rPr>
                <w:rFonts w:hint="eastAsia" w:ascii="宋体" w:hAnsi="宋体" w:eastAsia="宋体" w:cs="宋体"/>
                <w:sz w:val="21"/>
                <w:szCs w:val="21"/>
              </w:rPr>
              <w:t>兼容主流图形渲染与机器学习开发框架（如 TensorFlow、PyTorch、CUDA 等）</w:t>
            </w:r>
            <w:r>
              <w:rPr>
                <w:rFonts w:hint="eastAsia" w:ascii="宋体" w:hAnsi="宋体" w:cs="宋体"/>
                <w:sz w:val="21"/>
                <w:szCs w:val="21"/>
                <w:lang w:eastAsia="zh-CN"/>
              </w:rPr>
              <w:t>；</w:t>
            </w:r>
            <w:r>
              <w:rPr>
                <w:rFonts w:hint="eastAsia" w:ascii="宋体" w:hAnsi="宋体" w:eastAsia="宋体" w:cs="宋体"/>
                <w:sz w:val="21"/>
                <w:szCs w:val="21"/>
              </w:rPr>
              <w:t>显存容量 ≥ 8GB，显存位宽 ≥ 192bit</w:t>
            </w:r>
            <w:r>
              <w:rPr>
                <w:rFonts w:hint="eastAsia" w:ascii="宋体" w:hAnsi="宋体" w:cs="宋体"/>
                <w:sz w:val="21"/>
                <w:szCs w:val="21"/>
                <w:lang w:eastAsia="zh-CN"/>
              </w:rPr>
              <w:t>，</w:t>
            </w:r>
            <w:r>
              <w:rPr>
                <w:rFonts w:hint="eastAsia" w:ascii="宋体" w:hAnsi="宋体" w:cs="宋体"/>
                <w:sz w:val="21"/>
                <w:szCs w:val="21"/>
                <w:lang w:val="en-US" w:eastAsia="zh-CN"/>
              </w:rPr>
              <w:t>核心数</w:t>
            </w:r>
            <w:r>
              <w:rPr>
                <w:rFonts w:hint="eastAsia" w:ascii="宋体" w:hAnsi="宋体" w:eastAsia="宋体" w:cs="宋体"/>
                <w:sz w:val="21"/>
                <w:szCs w:val="21"/>
              </w:rPr>
              <w:t>≥</w:t>
            </w:r>
            <w:r>
              <w:rPr>
                <w:rFonts w:hint="eastAsia" w:ascii="宋体" w:hAnsi="宋体" w:cs="宋体"/>
                <w:sz w:val="21"/>
                <w:szCs w:val="21"/>
                <w:lang w:eastAsia="zh-CN"/>
              </w:rPr>
              <w:t>5000</w:t>
            </w:r>
            <w:r>
              <w:rPr>
                <w:rFonts w:hint="eastAsia" w:ascii="宋体" w:hAnsi="宋体" w:eastAsia="宋体" w:cs="宋体"/>
                <w:sz w:val="21"/>
                <w:szCs w:val="21"/>
              </w:rPr>
              <w: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5</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接口</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1</w:t>
            </w:r>
            <w:r>
              <w:rPr>
                <w:rFonts w:hint="eastAsia" w:ascii="宋体" w:hAnsi="宋体" w:cs="宋体"/>
                <w:sz w:val="21"/>
                <w:szCs w:val="21"/>
                <w:lang w:val="en-US" w:eastAsia="zh-CN"/>
              </w:rPr>
              <w:t>0</w:t>
            </w:r>
            <w:r>
              <w:rPr>
                <w:rFonts w:hint="eastAsia" w:ascii="宋体" w:hAnsi="宋体" w:eastAsia="宋体" w:cs="宋体"/>
                <w:sz w:val="21"/>
                <w:szCs w:val="21"/>
              </w:rPr>
              <w:t>G以太网电口≥1个，HDMI母口≥1个，USB3.0母口≥4个；</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6</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lang w:val="en-US" w:eastAsia="zh-CN"/>
              </w:rPr>
              <w:t>电源</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额定</w:t>
            </w:r>
            <w:r>
              <w:rPr>
                <w:rFonts w:hint="eastAsia" w:ascii="宋体" w:hAnsi="宋体" w:cs="宋体"/>
                <w:sz w:val="21"/>
                <w:szCs w:val="21"/>
                <w:lang w:val="en-US" w:eastAsia="zh-CN"/>
              </w:rPr>
              <w:t>8</w:t>
            </w:r>
            <w:r>
              <w:rPr>
                <w:rFonts w:hint="eastAsia" w:ascii="宋体" w:hAnsi="宋体" w:eastAsia="宋体" w:cs="宋体"/>
                <w:sz w:val="21"/>
                <w:szCs w:val="21"/>
              </w:rPr>
              <w:t>00W以上电源，供电可支持拓展；</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restart"/>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i w:val="0"/>
                <w:iCs w:val="0"/>
                <w:color w:val="auto"/>
                <w:kern w:val="2"/>
                <w:sz w:val="21"/>
                <w:szCs w:val="21"/>
                <w:u w:val="none"/>
                <w:lang w:val="en-US" w:eastAsia="zh-CN" w:bidi="ar"/>
              </w:rPr>
              <w:t xml:space="preserve"> </w:t>
            </w:r>
            <w:r>
              <w:rPr>
                <w:rFonts w:hint="eastAsia" w:ascii="宋体" w:hAnsi="宋体" w:eastAsia="宋体" w:cs="宋体"/>
                <w:sz w:val="21"/>
                <w:szCs w:val="21"/>
              </w:rPr>
              <w:t>曲面外置显示屏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屏幕尺寸不低于 27英寸; 屏幕曲率：曲面屏，曲率不高于1500R; 屏幕分辨率：不低于3440x1440；</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continue"/>
            <w:vAlign w:val="center"/>
          </w:tcPr>
          <w:p>
            <w:pPr>
              <w:widowControl/>
              <w:jc w:val="center"/>
              <w:rPr>
                <w:rFonts w:hint="default" w:ascii="宋体" w:hAnsi="宋体" w:eastAsia="宋体" w:cs="宋体"/>
                <w:kern w:val="0"/>
                <w:szCs w:val="21"/>
                <w:lang w:val="en-US" w:eastAsia="zh-CN"/>
              </w:rPr>
            </w:pP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便携式外置显示屏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支持触摸屏；屏幕比例16：9；屏幕尺寸≥14英寸；屏幕分辨率≥1920×1080；屏幕刷新率≥60Hz；MINIHDMI母口≥1，全功能TYPE-C≥1；</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407" w:type="dxa"/>
            <w:vAlign w:val="center"/>
          </w:tcPr>
          <w:p>
            <w:pPr>
              <w:keepNext w:val="0"/>
              <w:keepLines w:val="0"/>
              <w:widowControl/>
              <w:suppressLineNumbers w:val="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其他外设</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无线蓝牙键鼠</w:t>
            </w:r>
            <w:r>
              <w:rPr>
                <w:rFonts w:hint="eastAsia" w:ascii="宋体" w:hAnsi="宋体" w:cs="宋体"/>
                <w:sz w:val="21"/>
                <w:szCs w:val="21"/>
                <w:lang w:eastAsia="zh-CN"/>
              </w:rPr>
              <w:t>、多功能拓展坞、4G移动路由器</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799" w:type="dxa"/>
            <w:vAlign w:val="center"/>
          </w:tcPr>
          <w:p>
            <w:pPr>
              <w:widowControl/>
              <w:jc w:val="center"/>
              <w:rPr>
                <w:rFonts w:hint="eastAsia" w:ascii="宋体" w:hAnsi="宋体" w:eastAsia="宋体" w:cs="宋体"/>
                <w:bCs/>
                <w:kern w:val="0"/>
                <w:szCs w:val="21"/>
                <w:lang w:eastAsia="zh-CN"/>
              </w:rPr>
            </w:pPr>
            <w:r>
              <w:rPr>
                <w:rFonts w:hint="eastAsia" w:ascii="宋体" w:hAnsi="宋体" w:cs="宋体"/>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基本功能</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软件具备集统一组织管理、身份管理、身份认证、参数管理、应用管理、日志审计能力；</w:t>
            </w:r>
          </w:p>
        </w:tc>
        <w:tc>
          <w:tcPr>
            <w:tcW w:w="1280" w:type="dxa"/>
            <w:vAlign w:val="center"/>
          </w:tcPr>
          <w:p>
            <w:pPr>
              <w:widowControl/>
              <w:jc w:val="both"/>
              <w:rPr>
                <w:rFonts w:hint="eastAsia" w:ascii="宋体" w:hAnsi="宋体" w:eastAsia="宋体" w:cs="宋体"/>
                <w:kern w:val="2"/>
                <w:sz w:val="21"/>
                <w:szCs w:val="21"/>
                <w:highlight w:val="yellow"/>
                <w:lang w:val="en-US" w:eastAsia="zh-CN" w:bidi="ar-SA"/>
              </w:rPr>
            </w:pPr>
          </w:p>
        </w:tc>
        <w:tc>
          <w:tcPr>
            <w:tcW w:w="1592" w:type="dxa"/>
            <w:vAlign w:val="center"/>
          </w:tcPr>
          <w:p>
            <w:pPr>
              <w:widowControl/>
              <w:jc w:val="both"/>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08" w:hRule="atLeast"/>
          <w:jc w:val="center"/>
        </w:trPr>
        <w:tc>
          <w:tcPr>
            <w:tcW w:w="799"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cs="Times New Roman"/>
                <w:color w:val="auto"/>
                <w:kern w:val="2"/>
                <w:sz w:val="21"/>
                <w:szCs w:val="21"/>
                <w:highlight w:val="none"/>
                <w:lang w:val="en-US" w:eastAsia="zh-CN" w:bidi="ar-SA"/>
              </w:rPr>
              <w:t>航线规划模块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lang w:val="en-US" w:eastAsia="zh-CN"/>
              </w:rPr>
              <w:t>基于输电杆塔坐标分布或历史工程台账，自动配准三维高精度点云数据所属线路台账和杆塔区位；基于点云数据拍摄目标，结合无人机的航向、经纬度、高程、云台角度、变焦倍数，实现航线规划；</w:t>
            </w:r>
          </w:p>
        </w:tc>
        <w:tc>
          <w:tcPr>
            <w:tcW w:w="1280" w:type="dxa"/>
            <w:vAlign w:val="center"/>
          </w:tcPr>
          <w:p>
            <w:pPr>
              <w:widowControl/>
              <w:jc w:val="both"/>
              <w:rPr>
                <w:rFonts w:hint="eastAsia" w:ascii="宋体" w:hAnsi="宋体" w:eastAsia="宋体" w:cs="宋体"/>
                <w:kern w:val="2"/>
                <w:sz w:val="21"/>
                <w:szCs w:val="21"/>
                <w:lang w:val="en-US" w:eastAsia="zh-CN" w:bidi="ar-SA"/>
              </w:rPr>
            </w:pPr>
          </w:p>
        </w:tc>
        <w:tc>
          <w:tcPr>
            <w:tcW w:w="1592" w:type="dxa"/>
            <w:vAlign w:val="center"/>
          </w:tcPr>
          <w:p>
            <w:pPr>
              <w:widowControl/>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点云文件导入</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支持标准的LAS文件导入到系统中，并能检测LAS文件的合规性；</w:t>
            </w:r>
          </w:p>
        </w:tc>
        <w:tc>
          <w:tcPr>
            <w:tcW w:w="1280" w:type="dxa"/>
            <w:vAlign w:val="center"/>
          </w:tcPr>
          <w:p>
            <w:pPr>
              <w:widowControl/>
              <w:jc w:val="both"/>
              <w:rPr>
                <w:rFonts w:ascii="宋体" w:hAnsi="宋体" w:cs="宋体"/>
                <w:szCs w:val="21"/>
                <w:highlight w:val="yellow"/>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修改点云信息</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点击可修改文件信息，如文件名称、UTM信息；</w:t>
            </w:r>
          </w:p>
        </w:tc>
        <w:tc>
          <w:tcPr>
            <w:tcW w:w="1280" w:type="dxa"/>
            <w:vAlign w:val="center"/>
          </w:tcPr>
          <w:p>
            <w:pPr>
              <w:widowControl/>
              <w:jc w:val="both"/>
              <w:rPr>
                <w:rFonts w:ascii="宋体" w:hAnsi="宋体" w:cs="宋体"/>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删除点云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勾选一条或多条文件，点击删除按钮，可以删除文件；</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000000"/>
                <w:sz w:val="21"/>
                <w:szCs w:val="21"/>
                <w:highlight w:val="yellow"/>
                <w:lang w:eastAsia="zh-CN"/>
              </w:rPr>
            </w:pPr>
            <w:r>
              <w:rPr>
                <w:rFonts w:hint="eastAsia" w:ascii="Times New Roman" w:hAnsi="Times New Roman" w:eastAsia="宋体" w:cs="Times New Roman"/>
                <w:color w:val="auto"/>
                <w:kern w:val="2"/>
                <w:sz w:val="21"/>
                <w:szCs w:val="21"/>
                <w:highlight w:val="none"/>
                <w:lang w:val="en-US" w:eastAsia="zh-CN" w:bidi="ar-SA"/>
              </w:rPr>
              <w:t>下载点云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点击可下载点云文件；</w:t>
            </w:r>
          </w:p>
        </w:tc>
        <w:tc>
          <w:tcPr>
            <w:tcW w:w="1280" w:type="dxa"/>
            <w:vAlign w:val="center"/>
          </w:tcPr>
          <w:p>
            <w:pPr>
              <w:widowControl/>
              <w:jc w:val="both"/>
              <w:rPr>
                <w:rFonts w:hint="eastAsia" w:ascii="宋体" w:hAnsi="宋体" w:eastAsia="宋体" w:cs="宋体"/>
                <w:sz w:val="21"/>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复制点云</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复制一份点云文件副本；</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电压等级设置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设置规划线路的电压等级；</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.8</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所属线路绑定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持获取南网设备中心的线路台账信息并与工程绑定；</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可根据高程、分类和彩色类型展示点云；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标记杆塔</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通过鼠标点击快速标记点云中的杆塔位置；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KML导入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支持导入杆塔的KML文件自动标记杆塔；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可对杆塔批量命名；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★杆塔台账绑定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获取南网设备中心的杆塔台账信息并支持绑定标记杆塔；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基于展示的点云标记无人机的拍摄点位；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编辑拍摄点的同时自动生成该拍摄点的无人机航点位置；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航点默认距离设置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可设置航点距拍摄点的默认距离；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机身朝向设置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可设置每个航点中无人机的机身朝向角度；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云台角度设置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可设置每个航点中无人机的云台角度；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★一点多拍设置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支持在同一航点上进行至少2个拍照动作设置；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辅助点标记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可将普通航点转换为辅助点；</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基于常规杆塔结构对拍摄点进行预定义名称命名；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航点删除</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对航点及对应的拍摄点进行删除；</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航点顺序调整</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调整航点的顺序，拖动航点调整，支持逆序调整；</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支持选择</w:t>
            </w:r>
            <w:r>
              <w:rPr>
                <w:rFonts w:hint="eastAsia" w:ascii="Times New Roman" w:hAnsi="Times New Roman" w:cs="Times New Roman"/>
                <w:color w:val="auto"/>
                <w:kern w:val="2"/>
                <w:sz w:val="21"/>
                <w:szCs w:val="21"/>
                <w:highlight w:val="none"/>
                <w:lang w:val="en-US" w:eastAsia="zh-CN" w:bidi="ar-SA"/>
              </w:rPr>
              <w:t>单个</w:t>
            </w:r>
            <w:r>
              <w:rPr>
                <w:rFonts w:hint="eastAsia" w:ascii="Times New Roman" w:hAnsi="Times New Roman" w:eastAsia="宋体" w:cs="Times New Roman"/>
                <w:color w:val="auto"/>
                <w:kern w:val="2"/>
                <w:sz w:val="21"/>
                <w:szCs w:val="21"/>
                <w:highlight w:val="none"/>
                <w:lang w:val="en-US" w:eastAsia="zh-CN" w:bidi="ar-SA"/>
              </w:rPr>
              <w:t>航点进行复制；</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风险检测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根据设置的安全距离检测规划的航线的安全性；</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支持KML、KMZ航线文件的导入；</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生成KML、KMZ航线并导出；</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10.28</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复制杆塔部件航线到其他杆塔；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cs="Times New Roman"/>
                <w:color w:val="auto"/>
                <w:kern w:val="2"/>
                <w:sz w:val="21"/>
                <w:szCs w:val="21"/>
                <w:highlight w:val="none"/>
                <w:lang w:val="en-US" w:eastAsia="zh-CN" w:bidi="ar-SA"/>
              </w:rPr>
              <w:t>点云分析模块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支持点云安全距离分析，支持架空线路导线、杆塔、植被、地面等地物类别分类，参照相应的输电线路安全运行规程自动对距离小于安全距离的区域进行分析，生成树障等空间距离不足隐患报告；支持点云工况分析，支持根据输入的不同工况参数（环境温度、风速等）信息，重新计算导线弧垂位置和缺陷隐患点并进行动态展示，同时自动生成在线报告，报告支持Word、PDF格式导出；支持点云对象分析：利用激光点云数据对杆塔的使用档距、全塔高等信息进行分析；支持云端数据归档，点云模型分析后的树障隐患信息支持通过接口回传至云端机巡智测管理模块；</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支持设备本体点云分类结果展示</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手动或自动分类后，支持输电线路设备本体包括杆塔、电力线、架空地线的点云分类结果展示，不同设备可以区分；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支持走廊通道点云分类结果展示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手动或自动分类后，支持走廊通道包括植被、地面、建筑物的点云分类结果展示，不同地物可以区分；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手动或自动分类后，支持输电线路设备本体杆塔高度量测、档距量测；</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手动或自动分类后，支持走廊通道地物距离线路距离；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支持树障分析功能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支持树障分析功能，在当前工况下勾选需要分析的杆段，开展树障隐患分析；</w:t>
            </w:r>
          </w:p>
        </w:tc>
        <w:tc>
          <w:tcPr>
            <w:tcW w:w="1280" w:type="dxa"/>
            <w:vAlign w:val="center"/>
          </w:tcPr>
          <w:p>
            <w:pPr>
              <w:widowControl/>
              <w:jc w:val="both"/>
              <w:rPr>
                <w:rFonts w:hint="eastAsia" w:ascii="宋体" w:hAnsi="宋体" w:eastAsia="宋体" w:cs="宋体"/>
                <w:b/>
                <w:bCs/>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支持提供树障安全距离标准要求</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按照电压等级展示导线对植被垂直、水平、净空安全距离标准要求；</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支持树障空间距离实测计算</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按照点云自动计算导线对植被垂直、水平、净空距离计算值，计算精度达到0.2m；</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支持树障隐患严重程度判断</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按照点云自动计算导线对植被垂直、水平、净空距离，评估树障隐患严重程度；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支持树障隐患平面显示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支持根据点云计算结果平面显示树障位置；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支持树障报告下载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支持点云计算结果出具树障分析报告并可下载报告；</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支持高温工况分析功能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支持调整导线温度显示导线弧垂变化及安全距离计算；</w:t>
            </w:r>
          </w:p>
        </w:tc>
        <w:tc>
          <w:tcPr>
            <w:tcW w:w="1280" w:type="dxa"/>
            <w:vAlign w:val="center"/>
          </w:tcPr>
          <w:p>
            <w:pPr>
              <w:widowControl/>
              <w:jc w:val="both"/>
              <w:rPr>
                <w:rFonts w:hint="eastAsia" w:ascii="Times New Roman" w:hAnsi="Times New Roman" w:eastAsia="宋体" w:cs="Times New Roman"/>
                <w:b/>
                <w:bCs/>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支持风偏工况分析功能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支持调整风速计算导线风偏显示导线弧垂变化及安全距离计算；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支持覆冰工况分析功能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支持调整覆冰厚度计算导线弧垂变化及安全距离计算；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支持综合工况分析功能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支持调整温度、风速等复杂工况计算导线弧垂变化及安全距离计算；</w:t>
            </w:r>
          </w:p>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支持综合工况分析三维展示功能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支持调整温度、风速等复杂工况计算并基于导线弧垂变化进行三维展示；</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支持综合工况分析报告下载功能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支持调整温度、风速等复杂工况计算并出具复杂工况计算报告并支持下载；</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支持云端数据归档功能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点云模型分析后的树障隐患信息支持导入至云端机巡智测管理模块；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台账数据管理</w:t>
            </w:r>
          </w:p>
        </w:tc>
        <w:tc>
          <w:tcPr>
            <w:tcW w:w="2695" w:type="dxa"/>
            <w:vAlign w:val="center"/>
          </w:tcPr>
          <w:p>
            <w:pPr>
              <w:pStyle w:val="18"/>
              <w:keepNext w:val="0"/>
              <w:keepLines w:val="0"/>
              <w:widowControl/>
              <w:suppressLineNumbers w:val="0"/>
              <w:ind w:left="0" w:leftChars="0" w:right="0" w:rightChars="0"/>
              <w:jc w:val="both"/>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提供输电线路设备台账管理功能，支持台账查询、导入导出等操作；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可见光照片数据管理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提供可见光照片数据文件上传及命名功能，支持关联线路杆塔进行存储，支持可见光照片在线浏览、删除、下载操作；</w:t>
            </w:r>
          </w:p>
        </w:tc>
        <w:tc>
          <w:tcPr>
            <w:tcW w:w="1280" w:type="dxa"/>
            <w:vAlign w:val="center"/>
          </w:tcPr>
          <w:p>
            <w:pPr>
              <w:widowControl/>
              <w:jc w:val="both"/>
              <w:rPr>
                <w:rFonts w:hint="eastAsia" w:ascii="宋体" w:hAnsi="宋体" w:eastAsia="宋体" w:cs="宋体"/>
                <w:color w:val="auto"/>
                <w:kern w:val="2"/>
                <w:sz w:val="21"/>
                <w:szCs w:val="21"/>
                <w:highlight w:val="yellow"/>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红外照片数据管理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提供红外照片数据文件上传及命名功能，支持关联线路杆塔进行存储，支持红外照片在线浏览、删除、下载操作；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提供点云数据文件上传及命名功能，支持关联线路台账进行存储，支持点云数据文件删除、下载操作；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highlight w:val="yellow"/>
                <w:lang w:val="en-US" w:eastAsia="zh-CN" w:bidi="ar"/>
              </w:rPr>
            </w:pPr>
            <w:r>
              <w:rPr>
                <w:rFonts w:hint="eastAsia" w:ascii="Times New Roman" w:hAnsi="Times New Roman" w:eastAsia="宋体" w:cs="Times New Roman"/>
                <w:color w:val="auto"/>
                <w:kern w:val="2"/>
                <w:sz w:val="21"/>
                <w:szCs w:val="21"/>
                <w:highlight w:val="none"/>
                <w:lang w:val="en-US" w:eastAsia="zh-CN" w:bidi="ar-SA"/>
              </w:rPr>
              <w:t>图档资料管理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提供图档资料文件上传及命名功能，支持图档资料文件删除、下载操作；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数据复制和移动</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支持复制数据副本和选择新目录移动文件等操作；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数据同步云平台</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一体机接入内网环境情况下，支持一键同步云平台操作。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设备连接显示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显示已经部署完成的全部设备连接数；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13.2</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支持无线网络路由接入；</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支持将无人机遥控器通过Type-C转接头，有线网络与一体机通信；</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无人机地面站控制功能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支持以地面站程序形式控制机巢无人机，下发控制指令或航线文件，控制无人机完成指定飞行动作，并采集数据信息；</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无人机任务管理</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按时间顺序排列无人机巡检任务队列，展示任务详情，支持任务编辑、修改和下发；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巡检任务类型</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支持精细化巡检；</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执行航线选取</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支持本地文件库选取规划的航线下发；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任务创建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可自定义任务名称、执行的航线杆塔范围；</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任务下发</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支持查看设备的连接状况，将巡检任务下发给指定无人机执行；</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模拟飞行</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系统可执行模拟飞行，展示任务效果；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飞行参数</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支持设置飞行高度、飞行速度等巡检参数；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实时监控</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飞行过程实时展示电池电量、飞行速度、飞行高度等动态数据；</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轨迹展示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展示无人机飞行的动态航线轨迹路径；</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视频展示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展示无人机的云台现场视频画面；</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数据集成</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支持利用APN卡将巡检的结果数据回传至机巡云巢系统，巡检数据支持与南网统一机巡平台集成应用</w:t>
            </w:r>
            <w:r>
              <w:rPr>
                <w:rFonts w:hint="eastAsia" w:cs="Times New Roman"/>
                <w:color w:val="auto"/>
                <w:kern w:val="2"/>
                <w:sz w:val="21"/>
                <w:szCs w:val="21"/>
                <w:highlight w:val="none"/>
                <w:lang w:val="en-US" w:eastAsia="zh-CN" w:bidi="ar-SA"/>
              </w:rPr>
              <w:t>。</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bl>
    <w:p>
      <w:pPr>
        <w:jc w:val="both"/>
        <w:rPr>
          <w:rFonts w:ascii="宋体" w:hAnsi="宋体"/>
          <w:szCs w:val="21"/>
        </w:rPr>
      </w:pPr>
    </w:p>
    <w:p>
      <w:pPr>
        <w:jc w:val="both"/>
        <w:rPr>
          <w:rFonts w:ascii="宋体" w:hAnsi="宋体"/>
          <w:szCs w:val="21"/>
        </w:rPr>
      </w:pPr>
    </w:p>
    <w:p>
      <w:pPr>
        <w:jc w:val="both"/>
        <w:outlineLvl w:val="1"/>
        <w:rPr>
          <w:rFonts w:ascii="宋体" w:hAnsi="宋体"/>
          <w:szCs w:val="21"/>
        </w:rPr>
      </w:pPr>
      <w:bookmarkStart w:id="18" w:name="_Toc13711"/>
      <w:bookmarkStart w:id="19" w:name="_Toc27418"/>
      <w:r>
        <w:rPr>
          <w:rFonts w:hint="eastAsia" w:ascii="宋体" w:hAnsi="宋体"/>
          <w:szCs w:val="21"/>
          <w:lang w:eastAsia="zh-CN"/>
        </w:rPr>
        <w:t>表3</w:t>
      </w:r>
      <w:r>
        <w:rPr>
          <w:rFonts w:hint="eastAsia" w:ascii="宋体" w:hAnsi="宋体"/>
          <w:szCs w:val="21"/>
        </w:rPr>
        <w:t>.</w:t>
      </w:r>
      <w:r>
        <w:rPr>
          <w:rFonts w:hint="eastAsia" w:ascii="宋体" w:hAnsi="宋体"/>
          <w:szCs w:val="21"/>
          <w:lang w:val="en-US" w:eastAsia="zh-CN"/>
        </w:rPr>
        <w:t>3</w:t>
      </w:r>
      <w:r>
        <w:rPr>
          <w:rFonts w:hint="eastAsia" w:ascii="宋体" w:hAnsi="宋体"/>
          <w:szCs w:val="21"/>
        </w:rPr>
        <w:t xml:space="preserve">  </w:t>
      </w:r>
      <w:r>
        <w:rPr>
          <w:rFonts w:hint="eastAsia" w:ascii="宋体" w:hAnsi="宋体" w:eastAsia="宋体"/>
          <w:szCs w:val="21"/>
          <w:lang w:val="en-US" w:eastAsia="zh-CN"/>
        </w:rPr>
        <w:t>智能终端运维一体机（普通款B）</w:t>
      </w:r>
      <w:r>
        <w:rPr>
          <w:rFonts w:hint="eastAsia" w:ascii="宋体" w:hAnsi="宋体" w:eastAsia="宋体"/>
          <w:szCs w:val="21"/>
        </w:rPr>
        <w:t>标准</w:t>
      </w:r>
      <w:r>
        <w:rPr>
          <w:rFonts w:hint="eastAsia" w:ascii="宋体" w:hAnsi="宋体"/>
          <w:szCs w:val="21"/>
        </w:rPr>
        <w:t>技术特性参数</w:t>
      </w:r>
      <w:r>
        <w:rPr>
          <w:rFonts w:hint="eastAsia" w:ascii="宋体" w:hAnsi="宋体" w:eastAsia="宋体" w:cs="宋体"/>
        </w:rPr>
        <w:t>和性能要求响应</w:t>
      </w:r>
      <w:r>
        <w:rPr>
          <w:rFonts w:hint="eastAsia" w:ascii="宋体" w:hAnsi="宋体"/>
          <w:szCs w:val="21"/>
        </w:rPr>
        <w:t>表（投标方填写）</w:t>
      </w:r>
      <w:bookmarkEnd w:id="18"/>
      <w:bookmarkEnd w:id="19"/>
      <w:r>
        <w:rPr>
          <w:rFonts w:hint="eastAsia" w:ascii="宋体" w:hAnsi="宋体"/>
          <w:szCs w:val="21"/>
        </w:rPr>
        <w:t xml:space="preserve">  </w:t>
      </w:r>
    </w:p>
    <w:tbl>
      <w:tblPr>
        <w:tblStyle w:val="20"/>
        <w:tblW w:w="7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9"/>
        <w:gridCol w:w="1407"/>
        <w:gridCol w:w="2695"/>
        <w:gridCol w:w="1280"/>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99" w:type="dxa"/>
            <w:vAlign w:val="center"/>
          </w:tcPr>
          <w:p>
            <w:pPr>
              <w:widowControl/>
              <w:jc w:val="center"/>
              <w:rPr>
                <w:rFonts w:ascii="宋体" w:hAnsi="宋体"/>
                <w:b/>
                <w:kern w:val="0"/>
                <w:szCs w:val="21"/>
              </w:rPr>
            </w:pPr>
            <w:r>
              <w:rPr>
                <w:rFonts w:hint="eastAsia" w:ascii="宋体" w:hAnsi="宋体"/>
                <w:b/>
                <w:kern w:val="0"/>
                <w:szCs w:val="21"/>
              </w:rPr>
              <w:t>序号</w:t>
            </w:r>
          </w:p>
        </w:tc>
        <w:tc>
          <w:tcPr>
            <w:tcW w:w="1407"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项目</w:t>
            </w:r>
          </w:p>
        </w:tc>
        <w:tc>
          <w:tcPr>
            <w:tcW w:w="2695" w:type="dxa"/>
            <w:vAlign w:val="center"/>
          </w:tcPr>
          <w:p>
            <w:pPr>
              <w:widowControl/>
              <w:jc w:val="center"/>
              <w:rPr>
                <w:rFonts w:hint="default" w:ascii="宋体" w:hAnsi="宋体"/>
                <w:b/>
                <w:kern w:val="0"/>
                <w:szCs w:val="21"/>
                <w:lang w:val="en-US" w:eastAsia="zh-CN"/>
              </w:rPr>
            </w:pPr>
            <w:r>
              <w:rPr>
                <w:rFonts w:hint="eastAsia" w:ascii="宋体" w:hAnsi="宋体"/>
                <w:b/>
                <w:kern w:val="0"/>
                <w:szCs w:val="21"/>
                <w:lang w:eastAsia="zh-CN"/>
              </w:rPr>
              <w:t>项目要求值</w:t>
            </w:r>
          </w:p>
        </w:tc>
        <w:tc>
          <w:tcPr>
            <w:tcW w:w="1280" w:type="dxa"/>
            <w:vAlign w:val="center"/>
          </w:tcPr>
          <w:p>
            <w:pPr>
              <w:widowControl/>
              <w:jc w:val="center"/>
              <w:rPr>
                <w:rFonts w:hint="eastAsia" w:ascii="宋体" w:hAnsi="宋体"/>
                <w:b/>
                <w:kern w:val="0"/>
                <w:szCs w:val="21"/>
                <w:lang w:eastAsia="zh-CN"/>
              </w:rPr>
            </w:pPr>
            <w:r>
              <w:rPr>
                <w:rFonts w:hint="eastAsia" w:ascii="宋体" w:hAnsi="宋体"/>
                <w:b/>
                <w:kern w:val="0"/>
                <w:szCs w:val="21"/>
                <w:lang w:eastAsia="zh-CN"/>
              </w:rPr>
              <w:t>投标方</w:t>
            </w:r>
          </w:p>
          <w:p>
            <w:pPr>
              <w:widowControl/>
              <w:jc w:val="center"/>
              <w:rPr>
                <w:rFonts w:hint="eastAsia" w:ascii="宋体" w:hAnsi="宋体" w:eastAsia="宋体"/>
                <w:b/>
                <w:kern w:val="0"/>
                <w:szCs w:val="21"/>
                <w:lang w:eastAsia="zh-CN"/>
              </w:rPr>
            </w:pPr>
            <w:r>
              <w:rPr>
                <w:rFonts w:hint="eastAsia" w:ascii="宋体" w:hAnsi="宋体"/>
                <w:b/>
                <w:kern w:val="0"/>
                <w:szCs w:val="21"/>
                <w:lang w:eastAsia="zh-CN"/>
              </w:rPr>
              <w:t>保证值</w:t>
            </w:r>
          </w:p>
        </w:tc>
        <w:tc>
          <w:tcPr>
            <w:tcW w:w="1592"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cs="宋体"/>
                <w:bCs w:val="0"/>
                <w:kern w:val="2"/>
                <w:szCs w:val="21"/>
              </w:rPr>
            </w:pPr>
            <w:r>
              <w:rPr>
                <w:rFonts w:hint="eastAsia" w:ascii="宋体" w:hAnsi="宋体" w:cs="宋体"/>
                <w:szCs w:val="21"/>
              </w:rPr>
              <w:t>1</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处理器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CPU ≥ 8核16线程、最大频率不低于2.5GHZ；</w:t>
            </w:r>
          </w:p>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sz w:val="21"/>
                <w:szCs w:val="21"/>
                <w:lang w:val="en-US" w:eastAsia="zh-CN"/>
              </w:rPr>
            </w:pPr>
            <w:r>
              <w:rPr>
                <w:rFonts w:hint="eastAsia" w:ascii="宋体" w:hAnsi="宋体" w:cs="宋体"/>
                <w:sz w:val="21"/>
                <w:szCs w:val="21"/>
                <w:lang w:eastAsia="zh-CN"/>
              </w:rPr>
              <w:t>（满足安全</w:t>
            </w:r>
            <w:r>
              <w:rPr>
                <w:rFonts w:hint="eastAsia" w:ascii="宋体" w:hAnsi="宋体" w:cs="宋体"/>
                <w:sz w:val="21"/>
                <w:szCs w:val="21"/>
                <w:lang w:val="en-US" w:eastAsia="zh-CN"/>
              </w:rPr>
              <w:t>管控</w:t>
            </w:r>
            <w:r>
              <w:rPr>
                <w:rFonts w:hint="eastAsia" w:ascii="宋体" w:hAnsi="宋体" w:cs="宋体"/>
                <w:sz w:val="21"/>
                <w:szCs w:val="21"/>
                <w:lang w:eastAsia="zh-CN"/>
              </w:rPr>
              <w:t>要求、适配国产化操作系统）</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2</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内存</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内存 ≥ 32G DDR4；</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3</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存储</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 xml:space="preserve">固态存储容量≥ 2T，总存储 ≥ </w:t>
            </w:r>
            <w:r>
              <w:rPr>
                <w:rFonts w:hint="eastAsia" w:ascii="宋体" w:hAnsi="宋体" w:cs="宋体"/>
                <w:sz w:val="21"/>
                <w:szCs w:val="21"/>
                <w:lang w:val="en-US" w:eastAsia="zh-CN"/>
              </w:rPr>
              <w:t>4</w:t>
            </w:r>
            <w:r>
              <w:rPr>
                <w:rFonts w:hint="eastAsia" w:ascii="宋体" w:hAnsi="宋体" w:eastAsia="宋体" w:cs="宋体"/>
                <w:sz w:val="21"/>
                <w:szCs w:val="21"/>
              </w:rPr>
              <w:t>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显卡</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显存容量不低于16GB</w:t>
            </w:r>
            <w:r>
              <w:rPr>
                <w:rFonts w:hint="eastAsia" w:ascii="宋体" w:hAnsi="宋体" w:cs="宋体"/>
                <w:sz w:val="21"/>
                <w:szCs w:val="21"/>
                <w:lang w:eastAsia="zh-CN"/>
              </w:rPr>
              <w:t>，</w:t>
            </w:r>
            <w:r>
              <w:rPr>
                <w:rFonts w:hint="eastAsia" w:ascii="宋体" w:hAnsi="宋体" w:eastAsia="宋体" w:cs="宋体"/>
                <w:sz w:val="21"/>
                <w:szCs w:val="21"/>
              </w:rPr>
              <w:t>显存位宽 256bit</w:t>
            </w:r>
            <w:r>
              <w:rPr>
                <w:rFonts w:hint="eastAsia" w:ascii="宋体" w:hAnsi="宋体" w:cs="宋体"/>
                <w:sz w:val="21"/>
                <w:szCs w:val="21"/>
                <w:lang w:eastAsia="zh-CN"/>
              </w:rPr>
              <w:t>，</w:t>
            </w:r>
            <w:r>
              <w:rPr>
                <w:rFonts w:hint="eastAsia" w:ascii="宋体" w:hAnsi="宋体" w:eastAsia="宋体" w:cs="宋体"/>
                <w:sz w:val="21"/>
                <w:szCs w:val="21"/>
              </w:rPr>
              <w:t>流处理单元不低于4000</w:t>
            </w:r>
            <w:r>
              <w:rPr>
                <w:rFonts w:hint="eastAsia" w:ascii="宋体" w:hAnsi="宋体" w:cs="宋体"/>
                <w:sz w:val="21"/>
                <w:szCs w:val="21"/>
                <w:lang w:eastAsia="zh-CN"/>
              </w:rPr>
              <w:t>；</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5</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接口</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接口：1</w:t>
            </w:r>
            <w:r>
              <w:rPr>
                <w:rFonts w:hint="eastAsia" w:ascii="宋体" w:hAnsi="宋体" w:cs="宋体"/>
                <w:sz w:val="21"/>
                <w:szCs w:val="21"/>
                <w:lang w:val="en-US" w:eastAsia="zh-CN"/>
              </w:rPr>
              <w:t>0</w:t>
            </w:r>
            <w:r>
              <w:rPr>
                <w:rFonts w:hint="eastAsia" w:ascii="宋体" w:hAnsi="宋体" w:eastAsia="宋体" w:cs="宋体"/>
                <w:sz w:val="21"/>
                <w:szCs w:val="21"/>
              </w:rPr>
              <w:t>G以太网电口≥1个，HDMI母口≥1个，USB3.0母口≥4个；</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ascii="宋体" w:hAnsi="宋体" w:cs="宋体"/>
                <w:kern w:val="0"/>
                <w:szCs w:val="21"/>
              </w:rPr>
            </w:pPr>
            <w:r>
              <w:rPr>
                <w:rFonts w:hint="eastAsia" w:ascii="宋体" w:hAnsi="宋体" w:cs="宋体"/>
                <w:szCs w:val="21"/>
              </w:rPr>
              <w:t>6</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i w:val="0"/>
                <w:iCs w:val="0"/>
                <w:color w:val="auto"/>
                <w:kern w:val="2"/>
                <w:sz w:val="21"/>
                <w:szCs w:val="21"/>
                <w:u w:val="none"/>
                <w:lang w:val="en-US" w:eastAsia="zh-CN" w:bidi="ar"/>
              </w:rPr>
              <w:t>电源</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电源规格：额定</w:t>
            </w:r>
            <w:r>
              <w:rPr>
                <w:rFonts w:hint="eastAsia" w:ascii="宋体" w:hAnsi="宋体" w:cs="宋体"/>
                <w:sz w:val="21"/>
                <w:szCs w:val="21"/>
                <w:lang w:val="en-US" w:eastAsia="zh-CN"/>
              </w:rPr>
              <w:t>65</w:t>
            </w:r>
            <w:r>
              <w:rPr>
                <w:rFonts w:hint="eastAsia" w:ascii="宋体" w:hAnsi="宋体" w:eastAsia="宋体" w:cs="宋体"/>
                <w:sz w:val="21"/>
                <w:szCs w:val="21"/>
              </w:rPr>
              <w:t>0W以上电源，供电可支持拓展；</w:t>
            </w:r>
          </w:p>
        </w:tc>
        <w:tc>
          <w:tcPr>
            <w:tcW w:w="1280" w:type="dxa"/>
            <w:vAlign w:val="center"/>
          </w:tcPr>
          <w:p>
            <w:pPr>
              <w:widowControl/>
              <w:jc w:val="center"/>
              <w:rPr>
                <w:rFonts w:ascii="宋体" w:hAnsi="宋体" w:cs="宋体"/>
                <w:szCs w:val="21"/>
              </w:rPr>
            </w:pPr>
          </w:p>
        </w:tc>
        <w:tc>
          <w:tcPr>
            <w:tcW w:w="1592"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restart"/>
            <w:vAlign w:val="center"/>
          </w:tcPr>
          <w:p>
            <w:pPr>
              <w:widowControl/>
              <w:jc w:val="center"/>
              <w:rPr>
                <w:rFonts w:hint="default" w:ascii="宋体" w:hAnsi="宋体" w:eastAsia="宋体" w:cs="宋体"/>
                <w:kern w:val="0"/>
                <w:szCs w:val="21"/>
                <w:lang w:val="en-US" w:eastAsia="zh-CN"/>
              </w:rPr>
            </w:pPr>
            <w:r>
              <w:rPr>
                <w:rFonts w:hint="eastAsia" w:ascii="宋体" w:hAnsi="宋体" w:cs="宋体"/>
                <w:strike w:val="0"/>
                <w:dstrike w:val="0"/>
                <w:szCs w:val="21"/>
              </w:rPr>
              <w:t>7</w:t>
            </w: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i w:val="0"/>
                <w:iCs w:val="0"/>
                <w:color w:val="auto"/>
                <w:kern w:val="2"/>
                <w:sz w:val="21"/>
                <w:szCs w:val="21"/>
                <w:u w:val="none"/>
                <w:lang w:val="en-US" w:eastAsia="zh-CN" w:bidi="ar"/>
              </w:rPr>
              <w:t xml:space="preserve"> </w:t>
            </w:r>
            <w:r>
              <w:rPr>
                <w:rFonts w:hint="eastAsia" w:ascii="宋体" w:hAnsi="宋体" w:eastAsia="宋体" w:cs="宋体"/>
                <w:sz w:val="21"/>
                <w:szCs w:val="21"/>
              </w:rPr>
              <w:t>曲面外置显示屏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屏幕尺寸不低于 27英寸; 屏幕曲率：曲面屏，曲率不高于1500R; 屏幕分辨率：不低于3440x1440；</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Merge w:val="continue"/>
            <w:vAlign w:val="center"/>
          </w:tcPr>
          <w:p>
            <w:pPr>
              <w:widowControl/>
              <w:jc w:val="center"/>
              <w:rPr>
                <w:rFonts w:hint="default" w:ascii="宋体" w:hAnsi="宋体" w:eastAsia="宋体" w:cs="宋体"/>
                <w:kern w:val="0"/>
                <w:szCs w:val="21"/>
                <w:lang w:val="en-US" w:eastAsia="zh-CN"/>
              </w:rPr>
            </w:pPr>
          </w:p>
        </w:tc>
        <w:tc>
          <w:tcPr>
            <w:tcW w:w="1407" w:type="dxa"/>
            <w:vAlign w:val="center"/>
          </w:tcPr>
          <w:p>
            <w:pPr>
              <w:keepNext w:val="0"/>
              <w:keepLines w:val="0"/>
              <w:widowControl/>
              <w:suppressLineNumbers w:val="0"/>
              <w:jc w:val="center"/>
              <w:textAlignment w:val="auto"/>
              <w:rPr>
                <w:rFonts w:ascii="宋体" w:hAnsi="宋体" w:cs="宋体"/>
                <w:szCs w:val="21"/>
              </w:rPr>
            </w:pPr>
            <w:r>
              <w:rPr>
                <w:rFonts w:hint="eastAsia" w:ascii="宋体" w:hAnsi="宋体" w:eastAsia="宋体" w:cs="宋体"/>
                <w:sz w:val="21"/>
                <w:szCs w:val="21"/>
              </w:rPr>
              <w:t>便携式外置显示屏</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支持触摸屏；屏幕比例16：9；屏幕尺寸≥14英寸；屏幕分辨率≥1920×1080；屏幕刷新率≥60Hz；MINIHDMI母口≥1，全功能TYPE-C≥1；</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99" w:type="dxa"/>
            <w:vAlign w:val="center"/>
          </w:tcPr>
          <w:p>
            <w:pPr>
              <w:widowControl/>
              <w:jc w:val="center"/>
              <w:rPr>
                <w:rFonts w:hint="eastAsia" w:ascii="宋体" w:hAnsi="宋体" w:eastAsia="宋体" w:cs="宋体"/>
                <w:szCs w:val="21"/>
                <w:lang w:val="en-US" w:eastAsia="zh-CN"/>
              </w:rPr>
            </w:pPr>
            <w:r>
              <w:rPr>
                <w:rFonts w:hint="eastAsia" w:ascii="宋体" w:hAnsi="宋体" w:cs="宋体"/>
                <w:strike w:val="0"/>
                <w:dstrike w:val="0"/>
                <w:szCs w:val="21"/>
                <w:lang w:val="en-US" w:eastAsia="zh-CN"/>
              </w:rPr>
              <w:t>8</w:t>
            </w:r>
          </w:p>
        </w:tc>
        <w:tc>
          <w:tcPr>
            <w:tcW w:w="1407" w:type="dxa"/>
            <w:vAlign w:val="center"/>
          </w:tcPr>
          <w:p>
            <w:pPr>
              <w:keepNext w:val="0"/>
              <w:keepLines w:val="0"/>
              <w:widowControl/>
              <w:suppressLineNumbers w:val="0"/>
              <w:jc w:val="center"/>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其他外设</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无线蓝牙键鼠</w:t>
            </w:r>
            <w:r>
              <w:rPr>
                <w:rFonts w:hint="eastAsia" w:ascii="宋体" w:hAnsi="宋体" w:cs="宋体"/>
                <w:sz w:val="21"/>
                <w:szCs w:val="21"/>
                <w:lang w:eastAsia="zh-CN"/>
              </w:rPr>
              <w:t>、多功能拓展坞、4G移动路由器</w:t>
            </w:r>
          </w:p>
        </w:tc>
        <w:tc>
          <w:tcPr>
            <w:tcW w:w="1280" w:type="dxa"/>
            <w:vAlign w:val="center"/>
          </w:tcPr>
          <w:p>
            <w:pPr>
              <w:widowControl/>
              <w:jc w:val="center"/>
              <w:rPr>
                <w:rFonts w:ascii="宋体" w:hAnsi="宋体" w:cs="宋体"/>
                <w:szCs w:val="21"/>
              </w:rPr>
            </w:pPr>
          </w:p>
        </w:tc>
        <w:tc>
          <w:tcPr>
            <w:tcW w:w="1592"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799" w:type="dxa"/>
            <w:vAlign w:val="center"/>
          </w:tcPr>
          <w:p>
            <w:pPr>
              <w:widowControl/>
              <w:jc w:val="center"/>
              <w:rPr>
                <w:rFonts w:hint="eastAsia" w:ascii="宋体" w:hAnsi="宋体" w:eastAsia="宋体" w:cs="宋体"/>
                <w:bCs/>
                <w:kern w:val="0"/>
                <w:szCs w:val="21"/>
                <w:lang w:eastAsia="zh-CN"/>
              </w:rPr>
            </w:pPr>
            <w:r>
              <w:rPr>
                <w:rFonts w:hint="eastAsia" w:ascii="宋体" w:hAnsi="宋体" w:cs="宋体"/>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基本功能</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软件具备集统一组织管理、身份管理、身份认证、参数管理、应用管理、日志审计能力；</w:t>
            </w:r>
          </w:p>
        </w:tc>
        <w:tc>
          <w:tcPr>
            <w:tcW w:w="1280" w:type="dxa"/>
            <w:vAlign w:val="center"/>
          </w:tcPr>
          <w:p>
            <w:pPr>
              <w:widowControl/>
              <w:jc w:val="both"/>
              <w:rPr>
                <w:rFonts w:hint="eastAsia" w:ascii="宋体" w:hAnsi="宋体" w:eastAsia="宋体" w:cs="宋体"/>
                <w:kern w:val="2"/>
                <w:sz w:val="21"/>
                <w:szCs w:val="21"/>
                <w:highlight w:val="yellow"/>
                <w:lang w:val="en-US" w:eastAsia="zh-CN" w:bidi="ar-SA"/>
              </w:rPr>
            </w:pPr>
          </w:p>
        </w:tc>
        <w:tc>
          <w:tcPr>
            <w:tcW w:w="1592" w:type="dxa"/>
            <w:vAlign w:val="center"/>
          </w:tcPr>
          <w:p>
            <w:pPr>
              <w:widowControl/>
              <w:jc w:val="both"/>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08" w:hRule="atLeast"/>
          <w:jc w:val="center"/>
        </w:trPr>
        <w:tc>
          <w:tcPr>
            <w:tcW w:w="799" w:type="dxa"/>
            <w:vAlign w:val="center"/>
          </w:tcPr>
          <w:p>
            <w:pPr>
              <w:widowControl/>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cs="Times New Roman"/>
                <w:color w:val="auto"/>
                <w:kern w:val="2"/>
                <w:sz w:val="21"/>
                <w:szCs w:val="21"/>
                <w:highlight w:val="none"/>
                <w:lang w:val="en-US" w:eastAsia="zh-CN" w:bidi="ar-SA"/>
              </w:rPr>
              <w:t>航线规划模块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lang w:val="en-US" w:eastAsia="zh-CN"/>
              </w:rPr>
              <w:t>基于输电杆塔坐标分布或历史工程台账，自动配准三维高精度点云数据所属线路台账和杆塔区位；基于点云数据拍摄目标，结合无人机的航向、经纬度、高程、云台角度、变焦倍数，实现航线规划；</w:t>
            </w:r>
          </w:p>
        </w:tc>
        <w:tc>
          <w:tcPr>
            <w:tcW w:w="1280" w:type="dxa"/>
            <w:vAlign w:val="center"/>
          </w:tcPr>
          <w:p>
            <w:pPr>
              <w:widowControl/>
              <w:jc w:val="both"/>
              <w:rPr>
                <w:rFonts w:hint="eastAsia" w:ascii="宋体" w:hAnsi="宋体" w:eastAsia="宋体" w:cs="宋体"/>
                <w:kern w:val="2"/>
                <w:sz w:val="21"/>
                <w:szCs w:val="21"/>
                <w:lang w:val="en-US" w:eastAsia="zh-CN" w:bidi="ar-SA"/>
              </w:rPr>
            </w:pPr>
          </w:p>
        </w:tc>
        <w:tc>
          <w:tcPr>
            <w:tcW w:w="1592" w:type="dxa"/>
            <w:vAlign w:val="center"/>
          </w:tcPr>
          <w:p>
            <w:pPr>
              <w:widowControl/>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点云文件导入</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支持标准的LAS文件导入到系统中，并能检测LAS文件的合规性；</w:t>
            </w:r>
          </w:p>
        </w:tc>
        <w:tc>
          <w:tcPr>
            <w:tcW w:w="1280" w:type="dxa"/>
            <w:vAlign w:val="center"/>
          </w:tcPr>
          <w:p>
            <w:pPr>
              <w:widowControl/>
              <w:jc w:val="both"/>
              <w:rPr>
                <w:rFonts w:ascii="宋体" w:hAnsi="宋体" w:cs="宋体"/>
                <w:szCs w:val="21"/>
                <w:highlight w:val="yellow"/>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修改点云信息</w:t>
            </w:r>
          </w:p>
        </w:tc>
        <w:tc>
          <w:tcPr>
            <w:tcW w:w="2695"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点击可修改文件信息，如文件名称、UTM信息；</w:t>
            </w:r>
          </w:p>
        </w:tc>
        <w:tc>
          <w:tcPr>
            <w:tcW w:w="1280" w:type="dxa"/>
            <w:vAlign w:val="center"/>
          </w:tcPr>
          <w:p>
            <w:pPr>
              <w:widowControl/>
              <w:jc w:val="both"/>
              <w:rPr>
                <w:rFonts w:ascii="宋体" w:hAnsi="宋体" w:cs="宋体"/>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删除点云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勾选一条或多条文件，点击删除按钮，可以删除文件；</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000000"/>
                <w:sz w:val="21"/>
                <w:szCs w:val="21"/>
                <w:highlight w:val="yellow"/>
                <w:lang w:eastAsia="zh-CN"/>
              </w:rPr>
            </w:pPr>
            <w:r>
              <w:rPr>
                <w:rFonts w:hint="eastAsia" w:ascii="Times New Roman" w:hAnsi="Times New Roman" w:eastAsia="宋体" w:cs="Times New Roman"/>
                <w:color w:val="auto"/>
                <w:kern w:val="2"/>
                <w:sz w:val="21"/>
                <w:szCs w:val="21"/>
                <w:highlight w:val="none"/>
                <w:lang w:val="en-US" w:eastAsia="zh-CN" w:bidi="ar-SA"/>
              </w:rPr>
              <w:t>下载点云</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点击可下载点云文件；</w:t>
            </w:r>
          </w:p>
        </w:tc>
        <w:tc>
          <w:tcPr>
            <w:tcW w:w="1280" w:type="dxa"/>
            <w:vAlign w:val="center"/>
          </w:tcPr>
          <w:p>
            <w:pPr>
              <w:widowControl/>
              <w:jc w:val="both"/>
              <w:rPr>
                <w:rFonts w:hint="eastAsia" w:ascii="宋体" w:hAnsi="宋体" w:eastAsia="宋体" w:cs="宋体"/>
                <w:sz w:val="21"/>
                <w:szCs w:val="21"/>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复制点云</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复制一份点云文件副本；</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电压等级设置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设置规划线路的电压等级；</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.8</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所属线路绑定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持获取南网设备中心的线路台账信息并与工程绑定；</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10</w:t>
            </w:r>
            <w:r>
              <w:rPr>
                <w:rFonts w:hint="eastAsia" w:ascii="宋体" w:hAnsi="宋体" w:cs="宋体"/>
                <w:kern w:val="0"/>
                <w:szCs w:val="21"/>
                <w:lang w:val="en-US" w:eastAsia="zh-CN"/>
              </w:rPr>
              <w:t>.9</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可根据高程、分类和彩色类型展示点云；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标记杆塔</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通过鼠标点击快速标记点云中的杆塔位置；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KML导入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支持导入杆塔的KML文件自动标记杆塔；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可对杆塔批量命名；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杆塔台账绑定</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获取南网设备中心的杆塔台账信息并支持绑定标记杆塔；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基于展示的点云标记无人机的拍摄点位；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编辑拍摄点的同时自动生成该拍摄点的无人机航点位置；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航点默认距离设置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可设置航点距拍摄点的默认距离；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机身朝向设置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可设置每个航点中无人机的机身朝向角度；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云台角度设置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可设置每个航点中无人机的云台角度；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一点多拍设置</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支持在同一航点上进行至少2个拍照动作设置；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辅助点标记</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可将普通航点转换为辅助点；</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拍摄点命名</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基于常规杆塔结构对拍摄点进行预定义名称命名；</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航点删除</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对航点及对应的拍摄点进行删除；</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航点顺序调整</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调整航点的顺序，拖动航点调整，支持逆序调整；</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航点复制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支持选择</w:t>
            </w:r>
            <w:r>
              <w:rPr>
                <w:rFonts w:hint="eastAsia" w:ascii="Times New Roman" w:hAnsi="Times New Roman" w:cs="Times New Roman"/>
                <w:color w:val="auto"/>
                <w:kern w:val="2"/>
                <w:sz w:val="21"/>
                <w:szCs w:val="21"/>
                <w:highlight w:val="none"/>
                <w:lang w:val="en-US" w:eastAsia="zh-CN" w:bidi="ar-SA"/>
              </w:rPr>
              <w:t>单个</w:t>
            </w:r>
            <w:r>
              <w:rPr>
                <w:rFonts w:hint="eastAsia" w:ascii="Times New Roman" w:hAnsi="Times New Roman" w:eastAsia="宋体" w:cs="Times New Roman"/>
                <w:color w:val="auto"/>
                <w:kern w:val="2"/>
                <w:sz w:val="21"/>
                <w:szCs w:val="21"/>
                <w:highlight w:val="none"/>
                <w:lang w:val="en-US" w:eastAsia="zh-CN" w:bidi="ar-SA"/>
              </w:rPr>
              <w:t>航点进行复制；</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风险检测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根据设置的安全距离检测规划的航线的安全性；</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航线导入</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支持KML、KMZ航线文件的导入；</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航线生成</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生成KML、KMZ航线并导出；</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10.28</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航线复制</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复制杆塔部件航线到其他杆塔；</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w:t>
            </w:r>
          </w:p>
        </w:tc>
        <w:tc>
          <w:tcPr>
            <w:tcW w:w="1407" w:type="dxa"/>
            <w:vAlign w:val="center"/>
          </w:tcPr>
          <w:p>
            <w:pPr>
              <w:spacing w:line="360" w:lineRule="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cs="Times New Roman"/>
                <w:color w:val="auto"/>
                <w:kern w:val="2"/>
                <w:sz w:val="21"/>
                <w:szCs w:val="21"/>
                <w:highlight w:val="none"/>
                <w:lang w:val="en-US" w:eastAsia="zh-CN" w:bidi="ar-SA"/>
              </w:rPr>
              <w:t>点云分析模块</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支持点云安全距离分析，支持架空线路导线、杆塔、植被、地面等地物类别分类，参照相应的输电线路安全运行规程自动对距离小于安全距离的区域进行分析，生成树障等空间距离不足隐患报告；支持点云工况分析，支持根据输入的不同工况参数（环境温度、风速等）信息，重新计算导线弧垂位置和缺陷隐患点并进行动态展示，同时自动生成在线报告，报告支持Word、PDF格式导出；支持点云对象分析：利用激光点云数据对杆塔的使用档距、全塔高等信息进行分析；支持云端数据归档，点云模型分析后的树障隐患信息支持通过接口回传至云端机巡智测管理模块；</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支持走廊通道点云手动分类</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采用多边形按钮圈出多边形区域，完成走廊通道包括植被、地面、建筑物的点云分类；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标记好杆塔后，支持自动完成输电线路设备本体包括杆塔、电力线、架空地线的点云分类；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支持走廊通道点云自动分类</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标记好杆塔后，支持自动完成走廊通道包括植被、地面、建筑物的点云分类；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支持设备本体点云分类结果展示</w:t>
            </w:r>
          </w:p>
        </w:tc>
        <w:tc>
          <w:tcPr>
            <w:tcW w:w="2695"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cs="宋体"/>
                <w:i w:val="0"/>
                <w:iCs w:val="0"/>
                <w:color w:val="auto"/>
                <w:kern w:val="2"/>
                <w:sz w:val="21"/>
                <w:szCs w:val="21"/>
                <w:highlight w:val="yellow"/>
                <w:u w:val="none"/>
                <w:lang w:val="en-US" w:eastAsia="zh-CN" w:bidi="ar"/>
              </w:rPr>
            </w:pPr>
            <w:r>
              <w:rPr>
                <w:rFonts w:hint="eastAsia" w:ascii="宋体" w:hAnsi="宋体" w:eastAsia="宋体" w:cs="宋体"/>
                <w:sz w:val="21"/>
                <w:szCs w:val="21"/>
                <w:lang w:val="en-US" w:eastAsia="zh-CN"/>
              </w:rPr>
              <w:t>手动或自动分类后，支持输电线路设备本体包括杆塔、电力线、架空地线的点云分类结果展示，不同设备可以区分；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支持走廊通道点云分类结果展示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手动或自动分类后，支持走廊通道包括植被、地面、建筑物的点云分类结果展示，不同地物可以区分；</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支持设备本体点云分类关键数据量测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手动或自动分类后，支持输电线路设备本体杆塔高度量测、档距量测；</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支持走廊通道点云分类关键数据量测</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手动或自动分类后，支持走廊通道地物距离线路距离；</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支持树障分析功能，在当前工况下勾选需要分析的杆段，开展树障隐患分析；</w:t>
            </w:r>
          </w:p>
        </w:tc>
        <w:tc>
          <w:tcPr>
            <w:tcW w:w="1280" w:type="dxa"/>
            <w:vAlign w:val="center"/>
          </w:tcPr>
          <w:p>
            <w:pPr>
              <w:widowControl/>
              <w:jc w:val="both"/>
              <w:rPr>
                <w:rFonts w:hint="eastAsia" w:ascii="宋体" w:hAnsi="宋体" w:eastAsia="宋体" w:cs="宋体"/>
                <w:b/>
                <w:bCs/>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支持提供树障安全距离标准要求</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按照电压等级展示导线对植被垂直、水平、净空安全距离标准要求；</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支持树障空间距离实测计算</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按照点云自动计算导线对植被垂直、水平、净空距离计算值，计算精度达到0.2m；</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支持树障隐患严重程度判断</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按照点云自动计算导线对植被垂直、水平、净空距离，评估树障隐患严重程度；</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支持树障隐患平面显示</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支持根据点云计算结果平面显示树障位置；</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支持树障报告下载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支持点云计算结果出具树障分析报告并可下载报告；</w:t>
            </w:r>
          </w:p>
        </w:tc>
        <w:tc>
          <w:tcPr>
            <w:tcW w:w="1280"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支持高温工况分析功能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支持调整导线温度显示导线弧垂变化及安全距离计算；</w:t>
            </w:r>
          </w:p>
        </w:tc>
        <w:tc>
          <w:tcPr>
            <w:tcW w:w="1280" w:type="dxa"/>
            <w:vAlign w:val="center"/>
          </w:tcPr>
          <w:p>
            <w:pPr>
              <w:widowControl/>
              <w:jc w:val="both"/>
              <w:rPr>
                <w:rFonts w:hint="eastAsia" w:ascii="Times New Roman" w:hAnsi="Times New Roman" w:eastAsia="宋体" w:cs="Times New Roman"/>
                <w:b/>
                <w:bCs/>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支持风偏工况分析功能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支持调整风速计算导线风偏显示导线弧垂变化及安全距离计算；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支持覆冰工况分析功能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支持调整覆冰厚度计算导线弧垂变化及安全距离计算；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11.19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支持调整温度、风速等复杂工况计算导线弧垂变化及安全距离计算；</w:t>
            </w:r>
          </w:p>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支持综合工况分析三维展示功能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支持调整温度、风速等复杂工况计算并基于导线弧垂变化进行三维展示；</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支持综合工况分析报告下载功能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支持调整温度、风速等复杂工况计算并出具复杂工况计算报告并支持下载；</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11.22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支持云端数据归档功能</w:t>
            </w:r>
          </w:p>
        </w:tc>
        <w:tc>
          <w:tcPr>
            <w:tcW w:w="2695"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点云模型分析后的树障隐患信息支持导入至云端机巡智测管理模块；</w:t>
            </w:r>
          </w:p>
        </w:tc>
        <w:tc>
          <w:tcPr>
            <w:tcW w:w="1280"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592"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12.1</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台账数据管理</w:t>
            </w:r>
          </w:p>
        </w:tc>
        <w:tc>
          <w:tcPr>
            <w:tcW w:w="2695" w:type="dxa"/>
            <w:vAlign w:val="center"/>
          </w:tcPr>
          <w:p>
            <w:pPr>
              <w:pStyle w:val="18"/>
              <w:keepNext w:val="0"/>
              <w:keepLines w:val="0"/>
              <w:widowControl/>
              <w:suppressLineNumbers w:val="0"/>
              <w:ind w:left="0" w:leftChars="0" w:right="0" w:rightChars="0"/>
              <w:jc w:val="both"/>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提供输电线路设备台账管理功能，支持台账查询、导入导出等操作；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12.2</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可见光照片数据管理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提供可见光照片数据文件上传及命名功能，支持关联线路杆塔进行存储，支持可见光照片在线浏览、删除、下载操作；</w:t>
            </w:r>
          </w:p>
        </w:tc>
        <w:tc>
          <w:tcPr>
            <w:tcW w:w="1280" w:type="dxa"/>
            <w:vAlign w:val="center"/>
          </w:tcPr>
          <w:p>
            <w:pPr>
              <w:widowControl/>
              <w:jc w:val="both"/>
              <w:rPr>
                <w:rFonts w:hint="eastAsia" w:ascii="宋体" w:hAnsi="宋体" w:eastAsia="宋体" w:cs="宋体"/>
                <w:color w:val="auto"/>
                <w:kern w:val="2"/>
                <w:sz w:val="21"/>
                <w:szCs w:val="21"/>
                <w:highlight w:val="yellow"/>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12.3</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lang w:val="en-US" w:eastAsia="zh-CN" w:bidi="ar"/>
              </w:rPr>
            </w:pPr>
            <w:r>
              <w:rPr>
                <w:rFonts w:hint="eastAsia" w:ascii="Times New Roman" w:hAnsi="Times New Roman" w:eastAsia="宋体" w:cs="Times New Roman"/>
                <w:color w:val="auto"/>
                <w:kern w:val="2"/>
                <w:sz w:val="21"/>
                <w:szCs w:val="21"/>
                <w:highlight w:val="none"/>
                <w:lang w:val="en-US" w:eastAsia="zh-CN" w:bidi="ar-SA"/>
              </w:rPr>
              <w:t>红外照片数据管理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提供红外照片数据文件上传及命名功能，支持关联线路杆塔进行存储，支持红外照片在线浏览、删除、下载操作；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12.4</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点云数据管理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提供点云数据文件上传及命名功能，支持关联线路台账进行存储，支持点云数据文件删除、下载操作；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12.5</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kern w:val="0"/>
                <w:sz w:val="21"/>
                <w:szCs w:val="21"/>
                <w:highlight w:val="yellow"/>
                <w:lang w:val="en-US" w:eastAsia="zh-CN" w:bidi="ar"/>
              </w:rPr>
            </w:pPr>
            <w:r>
              <w:rPr>
                <w:rFonts w:hint="eastAsia" w:ascii="Times New Roman" w:hAnsi="Times New Roman" w:eastAsia="宋体" w:cs="Times New Roman"/>
                <w:color w:val="auto"/>
                <w:kern w:val="2"/>
                <w:sz w:val="21"/>
                <w:szCs w:val="21"/>
                <w:highlight w:val="none"/>
                <w:lang w:val="en-US" w:eastAsia="zh-CN" w:bidi="ar-SA"/>
              </w:rPr>
              <w:t>图档资料管理</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提供图档资料文件上传及命名功能，支持图档资料文件删除、下载操作；</w:t>
            </w:r>
          </w:p>
        </w:tc>
        <w:tc>
          <w:tcPr>
            <w:tcW w:w="1280" w:type="dxa"/>
            <w:vAlign w:val="center"/>
          </w:tcPr>
          <w:p>
            <w:pPr>
              <w:widowControl/>
              <w:jc w:val="both"/>
              <w:rPr>
                <w:rFonts w:hint="eastAsia" w:ascii="宋体" w:hAnsi="宋体" w:eastAsia="宋体" w:cs="宋体"/>
                <w:color w:val="auto"/>
                <w:kern w:val="2"/>
                <w:sz w:val="21"/>
                <w:szCs w:val="21"/>
                <w:lang w:val="en-US" w:eastAsia="zh-CN" w:bidi="ar-SA"/>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数据复制和移动</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支持复制数据副本和选择新目录移动文件等操作；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12.7</w:t>
            </w:r>
          </w:p>
        </w:tc>
        <w:tc>
          <w:tcPr>
            <w:tcW w:w="140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数据同步云平台</w:t>
            </w:r>
          </w:p>
        </w:tc>
        <w:tc>
          <w:tcPr>
            <w:tcW w:w="2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一体机接入内网环境情况下，支持一键同步云平台操作。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ascii="宋体" w:hAnsi="宋体" w:cs="宋体"/>
                <w:color w:val="auto"/>
                <w:kern w:val="0"/>
                <w:szCs w:val="21"/>
              </w:rPr>
            </w:pPr>
            <w:r>
              <w:rPr>
                <w:rFonts w:hint="eastAsia" w:ascii="宋体" w:hAnsi="宋体" w:cs="宋体"/>
                <w:color w:val="auto"/>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974" w:type="dxa"/>
          <w:cantSplit/>
          <w:trHeight w:val="618" w:hRule="atLeast"/>
          <w:jc w:val="center"/>
        </w:trPr>
        <w:tc>
          <w:tcPr>
            <w:tcW w:w="799" w:type="dxa"/>
            <w:vAlign w:val="center"/>
          </w:tcPr>
          <w:p>
            <w:pPr>
              <w:widowControl/>
              <w:jc w:val="center"/>
              <w:rPr>
                <w:rFonts w:hint="default" w:ascii="宋体" w:hAnsi="宋体" w:cs="宋体"/>
                <w:color w:val="auto"/>
                <w:kern w:val="0"/>
                <w:szCs w:val="21"/>
                <w:lang w:val="en-US" w:eastAsia="zh-CN"/>
              </w:rPr>
            </w:pPr>
            <w:r>
              <w:rPr>
                <w:rFonts w:hint="eastAsia" w:ascii="宋体" w:hAnsi="宋体" w:cs="宋体"/>
                <w:color w:val="auto"/>
                <w:kern w:val="0"/>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设备连接显示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显示已经部署完成的全部设备连接数；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13.2</w:t>
            </w:r>
          </w:p>
        </w:tc>
        <w:tc>
          <w:tcPr>
            <w:tcW w:w="140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支持无线网络路由接入；</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有线网络连接</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支持将无人机遥控器通过Type-C转接头，有线网络与一体机通信；</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无人机地面站控制功能</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支持以地面站程序形式控制机巢无人机，下发控制指令或航线文件，控制无人机完成指定飞行动作，并采集数据信息；</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无人机任务管理</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按时间顺序排列无人机巡检任务队列，展示任务详情，支持任务编辑、修改和下发；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13.6</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巡检任务类型</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支持精细化巡检；</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13.7</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执行航线选取</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支持本地文件库选取规划的航线下发；</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13.8</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任务创建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可自定义任务名称、执行的航线杆塔范围；</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13.9</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任务下发</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支持查看设备的连接状况，将巡检任务下发给指定无人机执行；</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13.10</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模拟飞行</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系统可执行模拟飞行，展示任务效果；</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13.11</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飞行参数</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支持设置飞行高度、飞行速度等巡检参数；</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13.12</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实时监控</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飞行过程实时展示电池电量、飞行速度、飞行高度等动态数据；</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13.13</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轨迹展示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展示无人机飞行的动态航线轨迹路径；</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13.14</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视频展示</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展示无人机的云台现场视频画面；</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799" w:type="dxa"/>
            <w:vAlign w:val="center"/>
          </w:tcPr>
          <w:p>
            <w:pPr>
              <w:widowControl/>
              <w:jc w:val="center"/>
              <w:rPr>
                <w:rFonts w:hint="eastAsia" w:ascii="宋体" w:hAnsi="宋体" w:cs="宋体"/>
                <w:color w:val="auto"/>
                <w:kern w:val="0"/>
                <w:szCs w:val="21"/>
                <w:lang w:val="en-US" w:eastAsia="zh-CN"/>
              </w:rPr>
            </w:pPr>
            <w:r>
              <w:rPr>
                <w:rFonts w:hint="eastAsia" w:ascii="宋体" w:hAnsi="宋体" w:cs="宋体"/>
                <w:kern w:val="0"/>
                <w:szCs w:val="21"/>
                <w:lang w:val="en-US" w:eastAsia="zh-CN"/>
              </w:rPr>
              <w:t>13.15</w:t>
            </w:r>
          </w:p>
        </w:tc>
        <w:tc>
          <w:tcPr>
            <w:tcW w:w="140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数据集成</w:t>
            </w:r>
          </w:p>
        </w:tc>
        <w:tc>
          <w:tcPr>
            <w:tcW w:w="2695"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支持利用APN卡将巡检的结果数据回传至机巡云巢系统，巡检数据支持与南网统一机巡平台集成应用</w:t>
            </w:r>
            <w:r>
              <w:rPr>
                <w:rFonts w:hint="eastAsia" w:cs="Times New Roman"/>
                <w:color w:val="auto"/>
                <w:kern w:val="2"/>
                <w:sz w:val="21"/>
                <w:szCs w:val="21"/>
                <w:highlight w:val="none"/>
                <w:lang w:val="en-US" w:eastAsia="zh-CN" w:bidi="ar-SA"/>
              </w:rPr>
              <w:t>。</w:t>
            </w:r>
          </w:p>
        </w:tc>
        <w:tc>
          <w:tcPr>
            <w:tcW w:w="1280"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592" w:type="dxa"/>
            <w:vAlign w:val="center"/>
          </w:tcPr>
          <w:p>
            <w:pPr>
              <w:jc w:val="both"/>
              <w:rPr>
                <w:rFonts w:hint="eastAsia" w:ascii="宋体" w:hAnsi="宋体" w:cs="宋体"/>
                <w:color w:val="auto"/>
                <w:szCs w:val="21"/>
              </w:rPr>
            </w:pPr>
            <w:r>
              <w:rPr>
                <w:rFonts w:hint="eastAsia" w:ascii="宋体" w:hAnsi="宋体" w:cs="宋体"/>
                <w:szCs w:val="21"/>
              </w:rPr>
              <w:t>试验报告、说明书、保证函等</w:t>
            </w:r>
          </w:p>
        </w:tc>
      </w:tr>
    </w:tbl>
    <w:p>
      <w:pPr>
        <w:jc w:val="left"/>
        <w:rPr>
          <w:rFonts w:ascii="宋体" w:hAnsi="宋体"/>
          <w:szCs w:val="21"/>
        </w:rPr>
      </w:pPr>
    </w:p>
    <w:p>
      <w:pPr>
        <w:jc w:val="left"/>
        <w:rPr>
          <w:rFonts w:ascii="宋体" w:hAnsi="宋体"/>
          <w:szCs w:val="21"/>
        </w:rPr>
      </w:pPr>
    </w:p>
    <w:p>
      <w:pPr>
        <w:ind w:firstLine="210" w:firstLineChars="100"/>
        <w:jc w:val="left"/>
        <w:outlineLvl w:val="1"/>
        <w:rPr>
          <w:rFonts w:ascii="宋体" w:hAnsi="宋体"/>
          <w:szCs w:val="21"/>
        </w:rPr>
      </w:pPr>
      <w:bookmarkStart w:id="20" w:name="_Toc30141"/>
      <w:bookmarkStart w:id="21" w:name="_Toc12724"/>
      <w:r>
        <w:rPr>
          <w:rFonts w:hint="eastAsia" w:ascii="宋体" w:hAnsi="宋体"/>
          <w:szCs w:val="21"/>
          <w:lang w:eastAsia="zh-CN"/>
        </w:rPr>
        <w:t>表3</w:t>
      </w:r>
      <w:r>
        <w:rPr>
          <w:rFonts w:hint="eastAsia" w:ascii="宋体" w:hAnsi="宋体"/>
          <w:szCs w:val="21"/>
        </w:rPr>
        <w:t>.</w:t>
      </w:r>
      <w:r>
        <w:rPr>
          <w:rFonts w:hint="eastAsia" w:ascii="宋体" w:hAnsi="宋体"/>
          <w:szCs w:val="21"/>
          <w:lang w:val="en-US" w:eastAsia="zh-CN"/>
        </w:rPr>
        <w:t>4</w:t>
      </w: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eastAsia="宋体"/>
          <w:szCs w:val="21"/>
          <w:lang w:val="en-US" w:eastAsia="zh-CN"/>
        </w:rPr>
        <w:t>智能终端运维一体机（便携款）</w:t>
      </w:r>
      <w:r>
        <w:rPr>
          <w:rFonts w:hint="eastAsia" w:ascii="宋体" w:hAnsi="宋体" w:eastAsia="宋体"/>
          <w:szCs w:val="21"/>
        </w:rPr>
        <w:t>标准技</w:t>
      </w:r>
      <w:r>
        <w:rPr>
          <w:rFonts w:hint="eastAsia" w:ascii="宋体" w:hAnsi="宋体"/>
          <w:szCs w:val="21"/>
        </w:rPr>
        <w:t>术特性参数</w:t>
      </w:r>
      <w:r>
        <w:rPr>
          <w:rFonts w:hint="eastAsia" w:ascii="宋体" w:hAnsi="宋体" w:eastAsia="宋体" w:cs="宋体"/>
        </w:rPr>
        <w:t>和性能要求响应</w:t>
      </w:r>
      <w:r>
        <w:rPr>
          <w:rFonts w:hint="eastAsia" w:ascii="宋体" w:hAnsi="宋体"/>
          <w:szCs w:val="21"/>
        </w:rPr>
        <w:t>表（投标方填写）</w:t>
      </w:r>
      <w:bookmarkEnd w:id="20"/>
      <w:bookmarkEnd w:id="21"/>
    </w:p>
    <w:tbl>
      <w:tblPr>
        <w:tblStyle w:val="20"/>
        <w:tblW w:w="7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297"/>
        <w:gridCol w:w="2550"/>
        <w:gridCol w:w="1433"/>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tblHeader/>
          <w:jc w:val="center"/>
        </w:trPr>
        <w:tc>
          <w:tcPr>
            <w:tcW w:w="926" w:type="dxa"/>
            <w:vAlign w:val="center"/>
          </w:tcPr>
          <w:p>
            <w:pPr>
              <w:widowControl/>
              <w:jc w:val="center"/>
              <w:rPr>
                <w:rFonts w:ascii="宋体" w:hAnsi="宋体"/>
                <w:b/>
                <w:kern w:val="0"/>
                <w:szCs w:val="21"/>
              </w:rPr>
            </w:pPr>
            <w:r>
              <w:rPr>
                <w:rFonts w:hint="eastAsia" w:ascii="宋体" w:hAnsi="宋体"/>
                <w:b/>
                <w:kern w:val="0"/>
                <w:szCs w:val="21"/>
              </w:rPr>
              <w:t>序号</w:t>
            </w:r>
          </w:p>
        </w:tc>
        <w:tc>
          <w:tcPr>
            <w:tcW w:w="1297"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项目</w:t>
            </w:r>
          </w:p>
        </w:tc>
        <w:tc>
          <w:tcPr>
            <w:tcW w:w="2550" w:type="dxa"/>
            <w:vAlign w:val="center"/>
          </w:tcPr>
          <w:p>
            <w:pPr>
              <w:widowControl/>
              <w:jc w:val="center"/>
              <w:rPr>
                <w:rFonts w:hint="default" w:ascii="宋体" w:hAnsi="宋体"/>
                <w:b/>
                <w:kern w:val="0"/>
                <w:szCs w:val="21"/>
                <w:lang w:val="en-US" w:eastAsia="zh-CN"/>
              </w:rPr>
            </w:pPr>
            <w:r>
              <w:rPr>
                <w:rFonts w:hint="eastAsia" w:ascii="宋体" w:hAnsi="宋体"/>
                <w:b/>
                <w:kern w:val="0"/>
                <w:szCs w:val="21"/>
                <w:lang w:eastAsia="zh-CN"/>
              </w:rPr>
              <w:t>项目要求值</w:t>
            </w:r>
          </w:p>
        </w:tc>
        <w:tc>
          <w:tcPr>
            <w:tcW w:w="1433"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投标方保证值</w:t>
            </w:r>
          </w:p>
        </w:tc>
        <w:tc>
          <w:tcPr>
            <w:tcW w:w="1617" w:type="dxa"/>
            <w:vAlign w:val="center"/>
          </w:tcPr>
          <w:p>
            <w:pPr>
              <w:widowControl/>
              <w:jc w:val="center"/>
              <w:rPr>
                <w:rFonts w:hint="eastAsia" w:ascii="宋体" w:hAnsi="宋体" w:eastAsia="宋体"/>
                <w:b/>
                <w:kern w:val="0"/>
                <w:szCs w:val="21"/>
                <w:lang w:eastAsia="zh-CN"/>
              </w:rPr>
            </w:pPr>
            <w:r>
              <w:rPr>
                <w:rFonts w:hint="eastAsia" w:ascii="宋体" w:hAnsi="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restart"/>
            <w:vAlign w:val="center"/>
          </w:tcPr>
          <w:p>
            <w:pPr>
              <w:widowControl/>
              <w:jc w:val="center"/>
              <w:rPr>
                <w:rFonts w:hint="eastAsia" w:ascii="宋体" w:hAnsi="宋体" w:eastAsia="宋体" w:cs="宋体"/>
                <w:bCs/>
                <w:kern w:val="0"/>
                <w:szCs w:val="21"/>
                <w:lang w:val="en-US" w:eastAsia="zh-CN"/>
              </w:rPr>
            </w:pPr>
            <w:r>
              <w:rPr>
                <w:rFonts w:hint="eastAsia" w:ascii="宋体" w:hAnsi="宋体" w:cs="宋体"/>
                <w:bCs/>
                <w:kern w:val="0"/>
                <w:szCs w:val="21"/>
                <w:lang w:val="en-US" w:eastAsia="zh-CN"/>
              </w:rPr>
              <w:t>1</w:t>
            </w:r>
          </w:p>
        </w:tc>
        <w:tc>
          <w:tcPr>
            <w:tcW w:w="1297" w:type="dxa"/>
            <w:vMerge w:val="restart"/>
            <w:vAlign w:val="center"/>
          </w:tcPr>
          <w:p>
            <w:pPr>
              <w:keepNext w:val="0"/>
              <w:keepLines w:val="0"/>
              <w:widowControl/>
              <w:suppressLineNumbers w:val="0"/>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结构设计</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default" w:ascii="宋体" w:hAnsi="宋体" w:eastAsia="宋体" w:cs="宋体"/>
                <w:i w:val="0"/>
                <w:iCs w:val="0"/>
                <w:color w:val="auto"/>
                <w:kern w:val="2"/>
                <w:sz w:val="21"/>
                <w:szCs w:val="21"/>
                <w:u w:val="none"/>
                <w:lang w:val="en-US" w:eastAsia="zh-CN" w:bidi="ar"/>
              </w:rPr>
              <w:t>一体式定制化设计</w:t>
            </w:r>
            <w:r>
              <w:rPr>
                <w:rFonts w:hint="eastAsia" w:ascii="宋体" w:hAnsi="宋体" w:cs="宋体"/>
                <w:i w:val="0"/>
                <w:iCs w:val="0"/>
                <w:color w:val="auto"/>
                <w:kern w:val="2"/>
                <w:sz w:val="21"/>
                <w:szCs w:val="21"/>
                <w:u w:val="none"/>
                <w:lang w:val="en-US" w:eastAsia="zh-CN" w:bidi="ar"/>
              </w:rPr>
              <w:t>，集成显示屏与计算模块的便携式终端；</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bCs/>
                <w:kern w:val="0"/>
                <w:szCs w:val="21"/>
                <w:lang w:val="en-US" w:eastAsia="zh-CN"/>
              </w:rPr>
            </w:pPr>
          </w:p>
        </w:tc>
        <w:tc>
          <w:tcPr>
            <w:tcW w:w="1297" w:type="dxa"/>
            <w:vMerge w:val="continue"/>
            <w:vAlign w:val="center"/>
          </w:tcPr>
          <w:p>
            <w:pPr>
              <w:keepNext w:val="0"/>
              <w:keepLines w:val="0"/>
              <w:widowControl/>
              <w:suppressLineNumbers w:val="0"/>
              <w:jc w:val="center"/>
              <w:textAlignment w:val="auto"/>
              <w:rPr>
                <w:rFonts w:hint="eastAsia" w:ascii="宋体" w:hAnsi="宋体" w:cs="宋体"/>
                <w:szCs w:val="21"/>
                <w:lang w:val="en-US" w:eastAsia="zh-CN"/>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rPr>
              <w:t>一体式结构，含可收纳式支架或提手设计；</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bCs/>
                <w:kern w:val="0"/>
                <w:szCs w:val="21"/>
                <w:lang w:val="en-US" w:eastAsia="zh-CN"/>
              </w:rPr>
            </w:pPr>
          </w:p>
        </w:tc>
        <w:tc>
          <w:tcPr>
            <w:tcW w:w="1297" w:type="dxa"/>
            <w:vMerge w:val="continue"/>
            <w:vAlign w:val="center"/>
          </w:tcPr>
          <w:p>
            <w:pPr>
              <w:keepNext w:val="0"/>
              <w:keepLines w:val="0"/>
              <w:widowControl/>
              <w:suppressLineNumbers w:val="0"/>
              <w:jc w:val="center"/>
              <w:textAlignment w:val="auto"/>
              <w:rPr>
                <w:rFonts w:hint="eastAsia" w:ascii="宋体" w:hAnsi="宋体" w:cs="宋体"/>
                <w:szCs w:val="21"/>
                <w:lang w:val="en-US" w:eastAsia="zh-CN"/>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rPr>
              <w:t>外壳材质</w:t>
            </w:r>
            <w:r>
              <w:rPr>
                <w:rFonts w:hint="eastAsia"/>
                <w:lang w:eastAsia="zh-CN"/>
              </w:rPr>
              <w:t>，</w:t>
            </w:r>
            <w:r>
              <w:rPr>
                <w:rFonts w:hint="eastAsia"/>
              </w:rPr>
              <w:t>工业级铝镁合金或防护复合材料，具备抗震、防尘、防溅设计；</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restart"/>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2</w:t>
            </w:r>
          </w:p>
        </w:tc>
        <w:tc>
          <w:tcPr>
            <w:tcW w:w="1297" w:type="dxa"/>
            <w:vMerge w:val="restart"/>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rPr>
              <w:t>计算</w:t>
            </w:r>
            <w:r>
              <w:rPr>
                <w:rFonts w:hint="eastAsia" w:ascii="宋体" w:hAnsi="宋体" w:cs="宋体"/>
                <w:szCs w:val="21"/>
                <w:lang w:val="en-US" w:eastAsia="zh-CN"/>
              </w:rPr>
              <w:t>模块</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计算能力，</w:t>
            </w:r>
            <w:r>
              <w:rPr>
                <w:rFonts w:hint="default" w:ascii="宋体" w:hAnsi="宋体" w:eastAsia="宋体" w:cs="宋体"/>
                <w:i w:val="0"/>
                <w:iCs w:val="0"/>
                <w:color w:val="auto"/>
                <w:kern w:val="2"/>
                <w:sz w:val="21"/>
                <w:szCs w:val="21"/>
                <w:u w:val="none"/>
                <w:lang w:val="en-US" w:eastAsia="zh-CN" w:bidi="ar"/>
              </w:rPr>
              <w:t>不低于8核、不低于16线程、最大频率不低于3GHz</w:t>
            </w:r>
            <w:r>
              <w:rPr>
                <w:rFonts w:hint="eastAsia" w:ascii="宋体" w:hAnsi="宋体" w:cs="宋体"/>
                <w:i w:val="0"/>
                <w:iCs w:val="0"/>
                <w:color w:val="auto"/>
                <w:kern w:val="2"/>
                <w:sz w:val="21"/>
                <w:szCs w:val="21"/>
                <w:u w:val="none"/>
                <w:lang w:val="en-US" w:eastAsia="zh-CN" w:bidi="ar"/>
              </w:rPr>
              <w:t>；</w:t>
            </w:r>
            <w:r>
              <w:rPr>
                <w:rFonts w:hint="eastAsia" w:ascii="宋体" w:hAnsi="宋体" w:cs="宋体"/>
                <w:sz w:val="21"/>
                <w:szCs w:val="21"/>
                <w:lang w:eastAsia="zh-CN"/>
              </w:rPr>
              <w:t>（满足安全</w:t>
            </w:r>
            <w:r>
              <w:rPr>
                <w:rFonts w:hint="eastAsia" w:ascii="宋体" w:hAnsi="宋体" w:cs="宋体"/>
                <w:sz w:val="21"/>
                <w:szCs w:val="21"/>
                <w:lang w:val="en-US" w:eastAsia="zh-CN"/>
              </w:rPr>
              <w:t>管控</w:t>
            </w:r>
            <w:r>
              <w:rPr>
                <w:rFonts w:hint="eastAsia" w:ascii="宋体" w:hAnsi="宋体" w:cs="宋体"/>
                <w:sz w:val="21"/>
                <w:szCs w:val="21"/>
                <w:lang w:eastAsia="zh-CN"/>
              </w:rPr>
              <w:t>要求、适配国产化操作系统）</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ascii="宋体" w:hAnsi="宋体" w:cs="宋体"/>
                <w:kern w:val="0"/>
                <w:szCs w:val="21"/>
              </w:rPr>
            </w:pPr>
          </w:p>
        </w:tc>
        <w:tc>
          <w:tcPr>
            <w:tcW w:w="1297" w:type="dxa"/>
            <w:vMerge w:val="continue"/>
            <w:vAlign w:val="center"/>
          </w:tcPr>
          <w:p>
            <w:pPr>
              <w:keepNext w:val="0"/>
              <w:keepLines w:val="0"/>
              <w:widowControl/>
              <w:suppressLineNumbers w:val="0"/>
              <w:jc w:val="center"/>
              <w:textAlignment w:val="auto"/>
              <w:rPr>
                <w:rFonts w:ascii="宋体" w:hAnsi="宋体" w:cs="宋体"/>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default" w:ascii="宋体" w:hAnsi="宋体" w:eastAsia="宋体" w:cs="宋体"/>
                <w:i w:val="0"/>
                <w:iCs w:val="0"/>
                <w:color w:val="auto"/>
                <w:kern w:val="2"/>
                <w:sz w:val="21"/>
                <w:szCs w:val="21"/>
                <w:u w:val="none"/>
                <w:lang w:val="en-US" w:eastAsia="zh-CN" w:bidi="ar"/>
              </w:rPr>
              <w:t>内存配置总容量不低于16G，DDR5及以上内存；</w:t>
            </w:r>
          </w:p>
        </w:tc>
        <w:tc>
          <w:tcPr>
            <w:tcW w:w="1433" w:type="dxa"/>
            <w:vAlign w:val="center"/>
          </w:tcPr>
          <w:p>
            <w:pPr>
              <w:widowControl/>
              <w:jc w:val="center"/>
              <w:rPr>
                <w:rFonts w:ascii="宋体" w:hAnsi="宋体" w:cs="宋体"/>
                <w:szCs w:val="21"/>
              </w:rPr>
            </w:pPr>
          </w:p>
        </w:tc>
        <w:tc>
          <w:tcPr>
            <w:tcW w:w="1617"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ascii="宋体" w:hAnsi="宋体" w:cs="宋体"/>
                <w:kern w:val="0"/>
                <w:szCs w:val="21"/>
              </w:rPr>
            </w:pPr>
          </w:p>
        </w:tc>
        <w:tc>
          <w:tcPr>
            <w:tcW w:w="1297" w:type="dxa"/>
            <w:vMerge w:val="continue"/>
            <w:vAlign w:val="center"/>
          </w:tcPr>
          <w:p>
            <w:pPr>
              <w:keepNext w:val="0"/>
              <w:keepLines w:val="0"/>
              <w:widowControl/>
              <w:suppressLineNumbers w:val="0"/>
              <w:jc w:val="center"/>
              <w:textAlignment w:val="auto"/>
              <w:rPr>
                <w:rFonts w:ascii="宋体" w:hAnsi="宋体" w:cs="宋体"/>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default" w:ascii="宋体" w:hAnsi="宋体" w:eastAsia="宋体" w:cs="宋体"/>
                <w:i w:val="0"/>
                <w:iCs w:val="0"/>
                <w:color w:val="auto"/>
                <w:kern w:val="2"/>
                <w:sz w:val="21"/>
                <w:szCs w:val="21"/>
                <w:u w:val="none"/>
                <w:lang w:val="en-US" w:eastAsia="zh-CN" w:bidi="ar"/>
              </w:rPr>
              <w:t>单个固态存储容量 1TB， M.2接口；读写速度：不小于4000MB/S；</w:t>
            </w:r>
          </w:p>
        </w:tc>
        <w:tc>
          <w:tcPr>
            <w:tcW w:w="1433" w:type="dxa"/>
            <w:vAlign w:val="center"/>
          </w:tcPr>
          <w:p>
            <w:pPr>
              <w:widowControl/>
              <w:jc w:val="center"/>
              <w:rPr>
                <w:rFonts w:ascii="宋体" w:hAnsi="宋体" w:cs="宋体"/>
                <w:szCs w:val="21"/>
              </w:rPr>
            </w:pPr>
          </w:p>
        </w:tc>
        <w:tc>
          <w:tcPr>
            <w:tcW w:w="1617"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ascii="宋体" w:hAnsi="宋体" w:cs="宋体"/>
                <w:kern w:val="0"/>
                <w:szCs w:val="21"/>
              </w:rPr>
            </w:pPr>
          </w:p>
        </w:tc>
        <w:tc>
          <w:tcPr>
            <w:tcW w:w="1297" w:type="dxa"/>
            <w:vMerge w:val="continue"/>
            <w:vAlign w:val="center"/>
          </w:tcPr>
          <w:p>
            <w:pPr>
              <w:keepNext w:val="0"/>
              <w:keepLines w:val="0"/>
              <w:widowControl/>
              <w:suppressLineNumbers w:val="0"/>
              <w:jc w:val="center"/>
              <w:textAlignment w:val="auto"/>
              <w:rPr>
                <w:rFonts w:ascii="宋体" w:hAnsi="宋体" w:cs="宋体"/>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显存容量不低于8GB，显存位宽不低于128bit；</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restart"/>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1297" w:type="dxa"/>
            <w:vMerge w:val="restart"/>
            <w:vAlign w:val="center"/>
          </w:tcPr>
          <w:p>
            <w:pPr>
              <w:keepNext w:val="0"/>
              <w:keepLines w:val="0"/>
              <w:widowControl/>
              <w:suppressLineNumbers w:val="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rPr>
              <w:t>显示</w:t>
            </w:r>
            <w:r>
              <w:rPr>
                <w:rFonts w:hint="eastAsia" w:ascii="宋体" w:hAnsi="宋体" w:cs="宋体"/>
                <w:sz w:val="21"/>
                <w:szCs w:val="21"/>
                <w:lang w:val="en-US" w:eastAsia="zh-CN"/>
              </w:rPr>
              <w:t>模块</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屏幕尺寸≥12英寸高清防眩光触控屏（分辨率≥1920×1080）；</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kern w:val="0"/>
                <w:szCs w:val="21"/>
              </w:rPr>
            </w:pPr>
          </w:p>
        </w:tc>
        <w:tc>
          <w:tcPr>
            <w:tcW w:w="1297" w:type="dxa"/>
            <w:vMerge w:val="continue"/>
            <w:vAlign w:val="center"/>
          </w:tcPr>
          <w:p>
            <w:pPr>
              <w:keepNext w:val="0"/>
              <w:keepLines w:val="0"/>
              <w:widowControl/>
              <w:suppressLineNumbers w:val="0"/>
              <w:jc w:val="center"/>
              <w:textAlignment w:val="auto"/>
              <w:rPr>
                <w:rFonts w:hint="eastAsia" w:ascii="宋体" w:hAnsi="宋体" w:eastAsia="宋体" w:cs="宋体"/>
                <w:sz w:val="21"/>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屏幕亮度≥</w:t>
            </w:r>
            <w:r>
              <w:rPr>
                <w:rFonts w:hint="eastAsia"/>
                <w:lang w:val="en-US" w:eastAsia="zh-CN"/>
              </w:rPr>
              <w:t>5</w:t>
            </w:r>
            <w:r>
              <w:rPr>
                <w:rFonts w:hint="eastAsia"/>
              </w:rPr>
              <w:t>00 nits，支持强光下可视；</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restart"/>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w:t>
            </w:r>
          </w:p>
        </w:tc>
        <w:tc>
          <w:tcPr>
            <w:tcW w:w="1297" w:type="dxa"/>
            <w:vMerge w:val="restart"/>
            <w:vAlign w:val="center"/>
          </w:tcPr>
          <w:p>
            <w:pPr>
              <w:keepNext w:val="0"/>
              <w:keepLines w:val="0"/>
              <w:widowControl/>
              <w:suppressLineNumbers w:val="0"/>
              <w:jc w:val="center"/>
              <w:textAlignment w:val="auto"/>
              <w:rPr>
                <w:rFonts w:ascii="宋体" w:hAnsi="宋体" w:cs="宋体"/>
                <w:szCs w:val="21"/>
              </w:rPr>
            </w:pPr>
            <w:r>
              <w:rPr>
                <w:rFonts w:hint="eastAsia" w:ascii="宋体" w:hAnsi="宋体" w:cs="宋体"/>
                <w:sz w:val="21"/>
                <w:szCs w:val="21"/>
                <w:lang w:val="en-US" w:eastAsia="zh-CN"/>
              </w:rPr>
              <w:t>通信</w:t>
            </w:r>
            <w:r>
              <w:rPr>
                <w:rFonts w:hint="eastAsia" w:ascii="宋体" w:hAnsi="宋体" w:eastAsia="宋体" w:cs="宋体"/>
                <w:sz w:val="21"/>
                <w:szCs w:val="21"/>
              </w:rPr>
              <w:t>接口</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rPr>
              <w:t>无线通信</w:t>
            </w:r>
            <w:r>
              <w:rPr>
                <w:rFonts w:hint="eastAsia"/>
                <w:lang w:eastAsia="zh-CN"/>
              </w:rPr>
              <w:t>，</w:t>
            </w:r>
            <w:r>
              <w:rPr>
                <w:rFonts w:hint="eastAsia"/>
              </w:rPr>
              <w:t>支持WiFi、蓝牙，内置4G/5G 模块（可插SIM卡）；</w:t>
            </w:r>
          </w:p>
        </w:tc>
        <w:tc>
          <w:tcPr>
            <w:tcW w:w="1433" w:type="dxa"/>
            <w:vAlign w:val="center"/>
          </w:tcPr>
          <w:p>
            <w:pPr>
              <w:widowControl/>
              <w:jc w:val="center"/>
              <w:rPr>
                <w:rFonts w:ascii="宋体" w:hAnsi="宋体" w:cs="宋体"/>
                <w:szCs w:val="21"/>
              </w:rPr>
            </w:pPr>
          </w:p>
        </w:tc>
        <w:tc>
          <w:tcPr>
            <w:tcW w:w="1617" w:type="dxa"/>
            <w:vAlign w:val="center"/>
          </w:tcPr>
          <w:p>
            <w:pPr>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szCs w:val="21"/>
              </w:rPr>
            </w:pPr>
          </w:p>
        </w:tc>
        <w:tc>
          <w:tcPr>
            <w:tcW w:w="1297" w:type="dxa"/>
            <w:vMerge w:val="continue"/>
            <w:vAlign w:val="center"/>
          </w:tcPr>
          <w:p>
            <w:pPr>
              <w:keepNext w:val="0"/>
              <w:keepLines w:val="0"/>
              <w:widowControl/>
              <w:suppressLineNumbers w:val="0"/>
              <w:jc w:val="center"/>
              <w:textAlignment w:val="auto"/>
              <w:rPr>
                <w:rFonts w:hint="eastAsia" w:ascii="宋体" w:hAnsi="宋体" w:eastAsia="宋体" w:cs="宋体"/>
                <w:sz w:val="21"/>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有线网络</w:t>
            </w:r>
            <w:r>
              <w:rPr>
                <w:rFonts w:hint="eastAsia"/>
                <w:lang w:eastAsia="zh-CN"/>
              </w:rPr>
              <w:t>，</w:t>
            </w:r>
            <w:r>
              <w:rPr>
                <w:rFonts w:hint="eastAsia"/>
              </w:rPr>
              <w:t>千兆以太网口≥1个；</w:t>
            </w:r>
          </w:p>
        </w:tc>
        <w:tc>
          <w:tcPr>
            <w:tcW w:w="1433" w:type="dxa"/>
            <w:vAlign w:val="center"/>
          </w:tcPr>
          <w:p>
            <w:pPr>
              <w:widowControl/>
              <w:jc w:val="center"/>
              <w:rPr>
                <w:rFonts w:ascii="宋体" w:hAnsi="宋体" w:cs="宋体"/>
                <w:szCs w:val="21"/>
              </w:rPr>
            </w:pPr>
          </w:p>
        </w:tc>
        <w:tc>
          <w:tcPr>
            <w:tcW w:w="1617"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szCs w:val="21"/>
              </w:rPr>
            </w:pPr>
          </w:p>
        </w:tc>
        <w:tc>
          <w:tcPr>
            <w:tcW w:w="1297" w:type="dxa"/>
            <w:vMerge w:val="continue"/>
            <w:vAlign w:val="center"/>
          </w:tcPr>
          <w:p>
            <w:pPr>
              <w:keepNext w:val="0"/>
              <w:keepLines w:val="0"/>
              <w:widowControl/>
              <w:suppressLineNumbers w:val="0"/>
              <w:jc w:val="center"/>
              <w:textAlignment w:val="auto"/>
              <w:rPr>
                <w:rFonts w:hint="eastAsia" w:ascii="宋体" w:hAnsi="宋体" w:eastAsia="宋体" w:cs="宋体"/>
                <w:sz w:val="21"/>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视频接口</w:t>
            </w:r>
            <w:r>
              <w:rPr>
                <w:rFonts w:hint="eastAsia"/>
                <w:lang w:eastAsia="zh-CN"/>
              </w:rPr>
              <w:t>，</w:t>
            </w:r>
            <w:r>
              <w:rPr>
                <w:rFonts w:hint="eastAsia"/>
              </w:rPr>
              <w:t>HDMI 输出口≥1个，支持外接显示器；</w:t>
            </w:r>
          </w:p>
        </w:tc>
        <w:tc>
          <w:tcPr>
            <w:tcW w:w="1433" w:type="dxa"/>
            <w:vAlign w:val="center"/>
          </w:tcPr>
          <w:p>
            <w:pPr>
              <w:widowControl/>
              <w:jc w:val="center"/>
              <w:rPr>
                <w:rFonts w:ascii="宋体" w:hAnsi="宋体" w:cs="宋体"/>
                <w:szCs w:val="21"/>
              </w:rPr>
            </w:pPr>
          </w:p>
        </w:tc>
        <w:tc>
          <w:tcPr>
            <w:tcW w:w="1617"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jc w:val="center"/>
        </w:trPr>
        <w:tc>
          <w:tcPr>
            <w:tcW w:w="926" w:type="dxa"/>
            <w:vMerge w:val="continue"/>
            <w:vAlign w:val="center"/>
          </w:tcPr>
          <w:p>
            <w:pPr>
              <w:widowControl/>
              <w:jc w:val="center"/>
              <w:rPr>
                <w:rFonts w:hint="eastAsia" w:ascii="宋体" w:hAnsi="宋体" w:cs="宋体"/>
                <w:szCs w:val="21"/>
              </w:rPr>
            </w:pPr>
          </w:p>
        </w:tc>
        <w:tc>
          <w:tcPr>
            <w:tcW w:w="1297" w:type="dxa"/>
            <w:vMerge w:val="continue"/>
            <w:vAlign w:val="center"/>
          </w:tcPr>
          <w:p>
            <w:pPr>
              <w:keepNext w:val="0"/>
              <w:keepLines w:val="0"/>
              <w:widowControl/>
              <w:suppressLineNumbers w:val="0"/>
              <w:jc w:val="center"/>
              <w:textAlignment w:val="auto"/>
              <w:rPr>
                <w:rFonts w:hint="eastAsia" w:ascii="宋体" w:hAnsi="宋体" w:eastAsia="宋体" w:cs="宋体"/>
                <w:sz w:val="21"/>
                <w:szCs w:val="21"/>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USB 3.0接口≥2个；</w:t>
            </w:r>
          </w:p>
        </w:tc>
        <w:tc>
          <w:tcPr>
            <w:tcW w:w="1433" w:type="dxa"/>
            <w:vAlign w:val="center"/>
          </w:tcPr>
          <w:p>
            <w:pPr>
              <w:widowControl/>
              <w:jc w:val="center"/>
              <w:rPr>
                <w:rFonts w:ascii="宋体" w:hAnsi="宋体" w:cs="宋体"/>
                <w:szCs w:val="21"/>
              </w:rPr>
            </w:pPr>
          </w:p>
        </w:tc>
        <w:tc>
          <w:tcPr>
            <w:tcW w:w="1617"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926" w:type="dxa"/>
            <w:vMerge w:val="restart"/>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5</w:t>
            </w:r>
          </w:p>
        </w:tc>
        <w:tc>
          <w:tcPr>
            <w:tcW w:w="1297" w:type="dxa"/>
            <w:vMerge w:val="restart"/>
            <w:vAlign w:val="center"/>
          </w:tcPr>
          <w:p>
            <w:pPr>
              <w:keepNext w:val="0"/>
              <w:keepLines w:val="0"/>
              <w:widowControl/>
              <w:suppressLineNumbers w:val="0"/>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供电模块</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内置可更换锂电池模块或外置电源供电模块；</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926" w:type="dxa"/>
            <w:vMerge w:val="continue"/>
            <w:vAlign w:val="center"/>
          </w:tcPr>
          <w:p>
            <w:pPr>
              <w:widowControl/>
              <w:jc w:val="center"/>
              <w:rPr>
                <w:rFonts w:hint="eastAsia" w:ascii="宋体" w:hAnsi="宋体" w:cs="宋体"/>
                <w:kern w:val="0"/>
                <w:szCs w:val="21"/>
                <w:lang w:val="en-US" w:eastAsia="zh-CN"/>
              </w:rPr>
            </w:pPr>
          </w:p>
        </w:tc>
        <w:tc>
          <w:tcPr>
            <w:tcW w:w="1297" w:type="dxa"/>
            <w:vMerge w:val="continue"/>
            <w:vAlign w:val="center"/>
          </w:tcPr>
          <w:p>
            <w:pPr>
              <w:keepNext w:val="0"/>
              <w:keepLines w:val="0"/>
              <w:widowControl/>
              <w:suppressLineNumbers w:val="0"/>
              <w:jc w:val="center"/>
              <w:textAlignment w:val="auto"/>
              <w:rPr>
                <w:rFonts w:hint="eastAsia" w:ascii="宋体" w:hAnsi="宋体" w:cs="宋体"/>
                <w:sz w:val="21"/>
                <w:szCs w:val="21"/>
                <w:lang w:val="en-US" w:eastAsia="zh-CN"/>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续航时间</w:t>
            </w:r>
            <w:r>
              <w:rPr>
                <w:rFonts w:hint="eastAsia"/>
                <w:lang w:eastAsia="zh-CN"/>
              </w:rPr>
              <w:t>，</w:t>
            </w:r>
            <w:r>
              <w:rPr>
                <w:rFonts w:hint="eastAsia"/>
              </w:rPr>
              <w:t>正常工作 ≥ 3小时；</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926" w:type="dxa"/>
            <w:vMerge w:val="continue"/>
            <w:vAlign w:val="center"/>
          </w:tcPr>
          <w:p>
            <w:pPr>
              <w:widowControl/>
              <w:jc w:val="center"/>
              <w:rPr>
                <w:rFonts w:hint="eastAsia" w:ascii="宋体" w:hAnsi="宋体" w:cs="宋体"/>
                <w:kern w:val="0"/>
                <w:szCs w:val="21"/>
                <w:lang w:val="en-US" w:eastAsia="zh-CN"/>
              </w:rPr>
            </w:pPr>
          </w:p>
        </w:tc>
        <w:tc>
          <w:tcPr>
            <w:tcW w:w="1297" w:type="dxa"/>
            <w:vMerge w:val="continue"/>
            <w:vAlign w:val="center"/>
          </w:tcPr>
          <w:p>
            <w:pPr>
              <w:keepNext w:val="0"/>
              <w:keepLines w:val="0"/>
              <w:widowControl/>
              <w:suppressLineNumbers w:val="0"/>
              <w:jc w:val="center"/>
              <w:textAlignment w:val="auto"/>
              <w:rPr>
                <w:rFonts w:hint="eastAsia" w:ascii="宋体" w:hAnsi="宋体" w:cs="宋体"/>
                <w:sz w:val="21"/>
                <w:szCs w:val="21"/>
                <w:lang w:val="en-US" w:eastAsia="zh-CN"/>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充电方式</w:t>
            </w:r>
            <w:r>
              <w:rPr>
                <w:rFonts w:hint="eastAsia"/>
                <w:lang w:eastAsia="zh-CN"/>
              </w:rPr>
              <w:t>，</w:t>
            </w:r>
            <w:r>
              <w:rPr>
                <w:rFonts w:hint="eastAsia"/>
              </w:rPr>
              <w:t>支持DC供电；</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926" w:type="dxa"/>
            <w:vMerge w:val="continue"/>
            <w:vAlign w:val="center"/>
          </w:tcPr>
          <w:p>
            <w:pPr>
              <w:widowControl/>
              <w:jc w:val="center"/>
              <w:rPr>
                <w:rFonts w:hint="eastAsia" w:ascii="宋体" w:hAnsi="宋体" w:cs="宋体"/>
                <w:kern w:val="0"/>
                <w:szCs w:val="21"/>
                <w:lang w:val="en-US" w:eastAsia="zh-CN"/>
              </w:rPr>
            </w:pPr>
          </w:p>
        </w:tc>
        <w:tc>
          <w:tcPr>
            <w:tcW w:w="1297" w:type="dxa"/>
            <w:vMerge w:val="continue"/>
            <w:vAlign w:val="center"/>
          </w:tcPr>
          <w:p>
            <w:pPr>
              <w:keepNext w:val="0"/>
              <w:keepLines w:val="0"/>
              <w:widowControl/>
              <w:suppressLineNumbers w:val="0"/>
              <w:jc w:val="center"/>
              <w:textAlignment w:val="auto"/>
              <w:rPr>
                <w:rFonts w:hint="eastAsia" w:ascii="宋体" w:hAnsi="宋体" w:cs="宋体"/>
                <w:sz w:val="21"/>
                <w:szCs w:val="21"/>
                <w:lang w:val="en-US" w:eastAsia="zh-CN"/>
              </w:rPr>
            </w:pP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宋体" w:hAnsi="宋体" w:eastAsia="宋体" w:cs="宋体"/>
                <w:sz w:val="21"/>
                <w:szCs w:val="21"/>
              </w:rPr>
            </w:pPr>
            <w:r>
              <w:rPr>
                <w:rFonts w:hint="eastAsia"/>
              </w:rPr>
              <w:t>电源输入</w:t>
            </w:r>
            <w:r>
              <w:rPr>
                <w:rFonts w:hint="eastAsia"/>
                <w:lang w:eastAsia="zh-CN"/>
              </w:rPr>
              <w:t>，</w:t>
            </w:r>
            <w:r>
              <w:rPr>
                <w:rFonts w:hint="eastAsia"/>
              </w:rPr>
              <w:t>支持12V~24V宽压输入；</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center"/>
        </w:trPr>
        <w:tc>
          <w:tcPr>
            <w:tcW w:w="926"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1297" w:type="dxa"/>
            <w:vAlign w:val="center"/>
          </w:tcPr>
          <w:p>
            <w:pPr>
              <w:keepNext w:val="0"/>
              <w:keepLines w:val="0"/>
              <w:widowControl/>
              <w:suppressLineNumbers w:val="0"/>
              <w:jc w:val="center"/>
              <w:textAlignment w:val="auto"/>
              <w:rPr>
                <w:rFonts w:hint="eastAsia" w:ascii="宋体" w:hAnsi="宋体" w:eastAsia="宋体" w:cs="宋体"/>
                <w:szCs w:val="21"/>
                <w:lang w:eastAsia="zh-CN"/>
              </w:rPr>
            </w:pPr>
            <w:r>
              <w:rPr>
                <w:rFonts w:hint="eastAsia" w:ascii="宋体" w:hAnsi="宋体" w:eastAsia="宋体" w:cs="宋体"/>
                <w:sz w:val="21"/>
                <w:szCs w:val="21"/>
              </w:rPr>
              <w:t>环境适应性</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sz w:val="21"/>
                <w:szCs w:val="21"/>
              </w:rPr>
              <w:t>抗震性：满足GB/T 2423.10-2008，适用于车辆运输环境；工作温度：-20℃～+55℃；湿度范围：5%～</w:t>
            </w:r>
            <w:r>
              <w:rPr>
                <w:rFonts w:hint="eastAsia" w:ascii="宋体" w:hAnsi="宋体" w:cs="宋体"/>
                <w:sz w:val="21"/>
                <w:szCs w:val="21"/>
                <w:lang w:val="en-US" w:eastAsia="zh-CN"/>
              </w:rPr>
              <w:t>6</w:t>
            </w:r>
            <w:r>
              <w:rPr>
                <w:rFonts w:hint="eastAsia" w:ascii="宋体" w:hAnsi="宋体" w:eastAsia="宋体" w:cs="宋体"/>
                <w:sz w:val="21"/>
                <w:szCs w:val="21"/>
              </w:rPr>
              <w:t>5% RH，无冷凝；</w:t>
            </w:r>
          </w:p>
        </w:tc>
        <w:tc>
          <w:tcPr>
            <w:tcW w:w="1433" w:type="dxa"/>
            <w:vAlign w:val="center"/>
          </w:tcPr>
          <w:p>
            <w:pPr>
              <w:widowControl/>
              <w:jc w:val="center"/>
              <w:rPr>
                <w:rFonts w:ascii="宋体" w:hAnsi="宋体" w:cs="宋体"/>
                <w:szCs w:val="21"/>
              </w:rPr>
            </w:pPr>
          </w:p>
        </w:tc>
        <w:tc>
          <w:tcPr>
            <w:tcW w:w="1617" w:type="dxa"/>
            <w:vAlign w:val="center"/>
          </w:tcPr>
          <w:p>
            <w:pPr>
              <w:widowControl/>
              <w:jc w:val="center"/>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 w:hRule="atLeast"/>
          <w:jc w:val="center"/>
        </w:trPr>
        <w:tc>
          <w:tcPr>
            <w:tcW w:w="926" w:type="dxa"/>
            <w:vAlign w:val="center"/>
          </w:tcPr>
          <w:p>
            <w:pPr>
              <w:widowControl/>
              <w:jc w:val="center"/>
              <w:rPr>
                <w:rFonts w:hint="eastAsia" w:ascii="宋体" w:hAnsi="宋体" w:eastAsia="宋体" w:cs="宋体"/>
                <w:bCs/>
                <w:kern w:val="0"/>
                <w:szCs w:val="21"/>
                <w:lang w:eastAsia="zh-CN"/>
              </w:rPr>
            </w:pPr>
            <w:r>
              <w:rPr>
                <w:rFonts w:hint="eastAsia" w:ascii="宋体" w:hAnsi="宋体" w:cs="宋体"/>
                <w:szCs w:val="21"/>
                <w:lang w:val="en-US" w:eastAsia="zh-CN"/>
              </w:rPr>
              <w:t>7</w:t>
            </w:r>
          </w:p>
        </w:tc>
        <w:tc>
          <w:tcPr>
            <w:tcW w:w="1297" w:type="dxa"/>
            <w:vAlign w:val="center"/>
          </w:tcPr>
          <w:p>
            <w:pPr>
              <w:pStyle w:val="18"/>
              <w:keepNext w:val="0"/>
              <w:keepLines w:val="0"/>
              <w:widowControl/>
              <w:suppressLineNumbers w:val="0"/>
              <w:ind w:left="0" w:leftChars="0" w:right="0" w:rightChars="0"/>
              <w:jc w:val="center"/>
              <w:rPr>
                <w:rFonts w:hint="eastAsia" w:asciiTheme="minorEastAsia" w:hAnsiTheme="minorEastAsia" w:eastAsiaTheme="minorEastAsia" w:cstheme="minorEastAsia"/>
                <w:sz w:val="21"/>
                <w:szCs w:val="21"/>
              </w:rPr>
            </w:pPr>
            <w:r>
              <w:rPr>
                <w:rFonts w:hint="eastAsia" w:ascii="Times New Roman" w:hAnsi="Times New Roman" w:eastAsia="宋体" w:cs="Times New Roman"/>
                <w:color w:val="auto"/>
                <w:kern w:val="2"/>
                <w:sz w:val="21"/>
                <w:szCs w:val="21"/>
                <w:highlight w:val="none"/>
                <w:lang w:val="en-US" w:eastAsia="zh-CN" w:bidi="ar-SA"/>
              </w:rPr>
              <w:t>基本功能</w:t>
            </w:r>
          </w:p>
        </w:tc>
        <w:tc>
          <w:tcPr>
            <w:tcW w:w="2550" w:type="dxa"/>
            <w:vAlign w:val="center"/>
          </w:tcPr>
          <w:p>
            <w:pPr>
              <w:pStyle w:val="18"/>
              <w:keepNext w:val="0"/>
              <w:keepLines w:val="0"/>
              <w:widowControl/>
              <w:suppressLineNumbers w:val="0"/>
              <w:ind w:left="0" w:leftChars="0" w:right="0" w:rightChars="0"/>
              <w:jc w:val="both"/>
              <w:rPr>
                <w:rFonts w:hint="default"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软件具备集统一组织管理、身份管理、身份认证、参数管理、应用管理、日志审计能力；</w:t>
            </w:r>
          </w:p>
        </w:tc>
        <w:tc>
          <w:tcPr>
            <w:tcW w:w="1433" w:type="dxa"/>
            <w:vAlign w:val="center"/>
          </w:tcPr>
          <w:p>
            <w:pPr>
              <w:widowControl/>
              <w:jc w:val="both"/>
              <w:rPr>
                <w:rFonts w:hint="eastAsia" w:ascii="宋体" w:hAnsi="宋体" w:eastAsia="宋体" w:cs="宋体"/>
                <w:kern w:val="2"/>
                <w:sz w:val="21"/>
                <w:szCs w:val="21"/>
                <w:highlight w:val="yellow"/>
                <w:lang w:val="en-US" w:eastAsia="zh-CN" w:bidi="ar-SA"/>
              </w:rPr>
            </w:pPr>
          </w:p>
        </w:tc>
        <w:tc>
          <w:tcPr>
            <w:tcW w:w="1617" w:type="dxa"/>
            <w:vAlign w:val="center"/>
          </w:tcPr>
          <w:p>
            <w:pPr>
              <w:widowControl/>
              <w:jc w:val="both"/>
              <w:rPr>
                <w:rFonts w:ascii="宋体" w:hAnsi="宋体" w:cs="宋体"/>
                <w:bCs/>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897" w:type="dxa"/>
          <w:cantSplit/>
          <w:trHeight w:val="608" w:hRule="atLeast"/>
          <w:jc w:val="center"/>
        </w:trPr>
        <w:tc>
          <w:tcPr>
            <w:tcW w:w="926" w:type="dxa"/>
            <w:vAlign w:val="center"/>
          </w:tcPr>
          <w:p>
            <w:pPr>
              <w:widowControl/>
              <w:jc w:val="center"/>
              <w:rPr>
                <w:rFonts w:hint="eastAsia" w:ascii="宋体" w:hAnsi="宋体" w:eastAsia="宋体" w:cs="宋体"/>
                <w:szCs w:val="21"/>
                <w:lang w:val="en-US" w:eastAsia="zh-CN"/>
              </w:rPr>
            </w:pPr>
            <w:r>
              <w:rPr>
                <w:rFonts w:hint="eastAsia" w:ascii="宋体" w:hAnsi="宋体" w:cs="宋体"/>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szCs w:val="21"/>
                <w:lang w:eastAsia="zh-CN"/>
              </w:rPr>
              <w:t>.</w:t>
            </w:r>
            <w:r>
              <w:rPr>
                <w:rFonts w:hint="eastAsia" w:ascii="宋体" w:hAnsi="宋体" w:cs="宋体"/>
                <w:szCs w:val="21"/>
                <w:lang w:val="en-US" w:eastAsia="zh-CN"/>
              </w:rPr>
              <w:t>1</w:t>
            </w:r>
          </w:p>
        </w:tc>
        <w:tc>
          <w:tcPr>
            <w:tcW w:w="1297" w:type="dxa"/>
            <w:vAlign w:val="center"/>
          </w:tcPr>
          <w:p>
            <w:pPr>
              <w:pStyle w:val="18"/>
              <w:keepNext w:val="0"/>
              <w:keepLines w:val="0"/>
              <w:widowControl/>
              <w:suppressLineNumbers w:val="0"/>
              <w:ind w:left="0" w:leftChars="0" w:right="0" w:rightChars="0"/>
              <w:jc w:val="both"/>
              <w:rPr>
                <w:rFonts w:hint="default" w:asciiTheme="minorEastAsia" w:hAnsiTheme="minorEastAsia" w:eastAsiaTheme="minorEastAsia" w:cstheme="minorEastAsia"/>
                <w:color w:val="auto"/>
                <w:sz w:val="21"/>
                <w:szCs w:val="21"/>
                <w:lang w:val="en-US"/>
              </w:rPr>
            </w:pPr>
            <w:r>
              <w:rPr>
                <w:rFonts w:hint="eastAsia" w:ascii="Times New Roman" w:hAnsi="Times New Roman" w:eastAsia="宋体" w:cs="Times New Roman"/>
                <w:color w:val="auto"/>
                <w:kern w:val="2"/>
                <w:sz w:val="21"/>
                <w:szCs w:val="21"/>
                <w:highlight w:val="none"/>
                <w:lang w:val="en-US" w:eastAsia="zh-CN" w:bidi="ar-SA"/>
              </w:rPr>
              <w:t>台账数据管理</w:t>
            </w:r>
          </w:p>
        </w:tc>
        <w:tc>
          <w:tcPr>
            <w:tcW w:w="2550" w:type="dxa"/>
            <w:vAlign w:val="center"/>
          </w:tcPr>
          <w:p>
            <w:pPr>
              <w:pStyle w:val="18"/>
              <w:keepNext w:val="0"/>
              <w:keepLines w:val="0"/>
              <w:widowControl/>
              <w:suppressLineNumbers w:val="0"/>
              <w:ind w:left="0" w:leftChars="0" w:right="0" w:rightChars="0"/>
              <w:jc w:val="both"/>
              <w:rPr>
                <w:rFonts w:hint="default"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提供输电线路设备台账管理功能，支持台账查询、导入导出等操作；</w:t>
            </w:r>
          </w:p>
        </w:tc>
        <w:tc>
          <w:tcPr>
            <w:tcW w:w="1433" w:type="dxa"/>
            <w:vAlign w:val="center"/>
          </w:tcPr>
          <w:p>
            <w:pPr>
              <w:widowControl/>
              <w:jc w:val="both"/>
              <w:rPr>
                <w:rFonts w:hint="eastAsia" w:ascii="宋体" w:hAnsi="宋体" w:eastAsia="宋体" w:cs="宋体"/>
                <w:kern w:val="2"/>
                <w:sz w:val="21"/>
                <w:szCs w:val="21"/>
                <w:lang w:val="en-US" w:eastAsia="zh-CN" w:bidi="ar-SA"/>
              </w:rPr>
            </w:pPr>
          </w:p>
        </w:tc>
        <w:tc>
          <w:tcPr>
            <w:tcW w:w="1617" w:type="dxa"/>
            <w:vAlign w:val="center"/>
          </w:tcPr>
          <w:p>
            <w:pPr>
              <w:widowControl/>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.2</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sz w:val="21"/>
                <w:szCs w:val="21"/>
              </w:rPr>
            </w:pPr>
            <w:r>
              <w:rPr>
                <w:rFonts w:hint="eastAsia" w:ascii="Times New Roman" w:hAnsi="Times New Roman" w:eastAsia="宋体" w:cs="Times New Roman"/>
                <w:color w:val="auto"/>
                <w:kern w:val="2"/>
                <w:sz w:val="21"/>
                <w:szCs w:val="21"/>
                <w:highlight w:val="none"/>
                <w:lang w:val="en-US" w:eastAsia="zh-CN" w:bidi="ar-SA"/>
              </w:rPr>
              <w:t>可见光照片数据管理</w:t>
            </w:r>
          </w:p>
        </w:tc>
        <w:tc>
          <w:tcPr>
            <w:tcW w:w="2550"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提供可见光照片数据文件上传及命名功能，支持关联线路杆塔进行存储，支持可见光照片在线浏览、删除、下载操作；</w:t>
            </w:r>
          </w:p>
        </w:tc>
        <w:tc>
          <w:tcPr>
            <w:tcW w:w="1433" w:type="dxa"/>
            <w:vAlign w:val="center"/>
          </w:tcPr>
          <w:p>
            <w:pPr>
              <w:widowControl/>
              <w:jc w:val="both"/>
              <w:rPr>
                <w:rFonts w:ascii="宋体" w:hAnsi="宋体" w:cs="宋体"/>
                <w:szCs w:val="21"/>
                <w:highlight w:val="yellow"/>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.3</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sz w:val="21"/>
                <w:szCs w:val="21"/>
              </w:rPr>
            </w:pPr>
            <w:r>
              <w:rPr>
                <w:rFonts w:hint="eastAsia" w:ascii="Times New Roman" w:hAnsi="Times New Roman" w:eastAsia="宋体" w:cs="Times New Roman"/>
                <w:color w:val="auto"/>
                <w:kern w:val="2"/>
                <w:sz w:val="21"/>
                <w:szCs w:val="21"/>
                <w:highlight w:val="none"/>
                <w:lang w:val="en-US" w:eastAsia="zh-CN" w:bidi="ar-SA"/>
              </w:rPr>
              <w:t>红外照片数据管理</w:t>
            </w:r>
          </w:p>
        </w:tc>
        <w:tc>
          <w:tcPr>
            <w:tcW w:w="2550" w:type="dxa"/>
            <w:vAlign w:val="center"/>
          </w:tcPr>
          <w:p>
            <w:pPr>
              <w:keepNext w:val="0"/>
              <w:keepLines w:val="0"/>
              <w:widowControl/>
              <w:suppressLineNumbers w:val="0"/>
              <w:jc w:val="both"/>
              <w:textAlignment w:val="auto"/>
              <w:rPr>
                <w:rFonts w:hint="default"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提供红外照片数据文件上传及命名功能，支持关联线路杆塔进行存储，支持红外照片在线浏览、删除、下载操作；</w:t>
            </w:r>
          </w:p>
        </w:tc>
        <w:tc>
          <w:tcPr>
            <w:tcW w:w="1433" w:type="dxa"/>
            <w:vAlign w:val="center"/>
          </w:tcPr>
          <w:p>
            <w:pPr>
              <w:widowControl/>
              <w:jc w:val="both"/>
              <w:rPr>
                <w:rFonts w:ascii="宋体" w:hAnsi="宋体" w:cs="宋体"/>
                <w:szCs w:val="21"/>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.4</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点云数据管理</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提供点云数据文件上传及命名功能，支持关联线路台账进行存储，支持点云数据文件删除、下载操作；</w:t>
            </w:r>
          </w:p>
        </w:tc>
        <w:tc>
          <w:tcPr>
            <w:tcW w:w="1433"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.5</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color w:val="auto"/>
                <w:sz w:val="21"/>
                <w:szCs w:val="21"/>
                <w:highlight w:val="yellow"/>
                <w:lang w:eastAsia="zh-CN"/>
              </w:rPr>
            </w:pPr>
            <w:r>
              <w:rPr>
                <w:rFonts w:hint="eastAsia" w:ascii="Times New Roman" w:hAnsi="Times New Roman" w:eastAsia="宋体" w:cs="Times New Roman"/>
                <w:color w:val="auto"/>
                <w:kern w:val="2"/>
                <w:sz w:val="21"/>
                <w:szCs w:val="21"/>
                <w:highlight w:val="none"/>
                <w:lang w:val="en-US" w:eastAsia="zh-CN" w:bidi="ar-SA"/>
              </w:rPr>
              <w:t>图档资料管理</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提供图档资料文件上传及命名功能，支持图档资料文件删除、下载操作；</w:t>
            </w:r>
          </w:p>
        </w:tc>
        <w:tc>
          <w:tcPr>
            <w:tcW w:w="1433" w:type="dxa"/>
            <w:vAlign w:val="center"/>
          </w:tcPr>
          <w:p>
            <w:pPr>
              <w:widowControl/>
              <w:jc w:val="both"/>
              <w:rPr>
                <w:rFonts w:hint="eastAsia" w:ascii="宋体" w:hAnsi="宋体" w:eastAsia="宋体" w:cs="宋体"/>
                <w:sz w:val="21"/>
                <w:szCs w:val="21"/>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.6</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数据复制和移动</w:t>
            </w:r>
          </w:p>
        </w:tc>
        <w:tc>
          <w:tcPr>
            <w:tcW w:w="2550"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支持复制数据副本和选择新目录移动文件等操作；</w:t>
            </w:r>
          </w:p>
        </w:tc>
        <w:tc>
          <w:tcPr>
            <w:tcW w:w="1433"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szCs w:val="21"/>
                <w:lang w:val="en-US" w:eastAsia="zh-CN"/>
              </w:rPr>
              <w:t>8</w:t>
            </w:r>
            <w:r>
              <w:rPr>
                <w:rFonts w:hint="eastAsia" w:ascii="宋体" w:hAnsi="宋体" w:cs="宋体"/>
                <w:kern w:val="0"/>
                <w:szCs w:val="21"/>
                <w:lang w:val="en-US" w:eastAsia="zh-CN"/>
              </w:rPr>
              <w:t>.7</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数据同步云平台</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一体机接入内网环境情况下，支持一键同步云平台操作；</w:t>
            </w:r>
          </w:p>
        </w:tc>
        <w:tc>
          <w:tcPr>
            <w:tcW w:w="1433"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897" w:type="dxa"/>
          <w:cantSplit/>
          <w:trHeight w:val="451" w:hRule="atLeast"/>
          <w:jc w:val="center"/>
        </w:trPr>
        <w:tc>
          <w:tcPr>
            <w:tcW w:w="926"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1"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w:t>
            </w:r>
          </w:p>
        </w:tc>
        <w:tc>
          <w:tcPr>
            <w:tcW w:w="1297" w:type="dxa"/>
            <w:vAlign w:val="center"/>
          </w:tcPr>
          <w:p>
            <w:pPr>
              <w:pStyle w:val="18"/>
              <w:keepNext w:val="0"/>
              <w:keepLines w:val="0"/>
              <w:widowControl/>
              <w:suppressLineNumbers w:val="0"/>
              <w:ind w:left="0" w:leftChars="0" w:right="0" w:rightChars="0"/>
              <w:jc w:val="both"/>
              <w:rPr>
                <w:rFonts w:hint="default"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设备连接显示</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显示已经部署完成的全部设备连接数；</w:t>
            </w:r>
          </w:p>
        </w:tc>
        <w:tc>
          <w:tcPr>
            <w:tcW w:w="1433"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9.2</w:t>
            </w:r>
          </w:p>
        </w:tc>
        <w:tc>
          <w:tcPr>
            <w:tcW w:w="1297" w:type="dxa"/>
            <w:vAlign w:val="center"/>
          </w:tcPr>
          <w:p>
            <w:pPr>
              <w:pStyle w:val="18"/>
              <w:keepNext w:val="0"/>
              <w:keepLines w:val="0"/>
              <w:widowControl/>
              <w:suppressLineNumbers w:val="0"/>
              <w:ind w:left="0" w:leftChars="0" w:right="0" w:rightChars="0"/>
              <w:jc w:val="both"/>
              <w:rPr>
                <w:rFonts w:hint="eastAsia" w:asciiTheme="minorEastAsia" w:hAnsiTheme="minorEastAsia" w:eastAsiaTheme="minorEastAsia" w:cstheme="minorEastAsia"/>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无线网络连接</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支持无线网络路由接入；</w:t>
            </w:r>
          </w:p>
        </w:tc>
        <w:tc>
          <w:tcPr>
            <w:tcW w:w="1433" w:type="dxa"/>
            <w:vAlign w:val="center"/>
          </w:tcPr>
          <w:p>
            <w:pPr>
              <w:widowControl/>
              <w:jc w:val="both"/>
              <w:rPr>
                <w:rFonts w:hint="eastAsia" w:ascii="宋体" w:hAnsi="宋体" w:eastAsia="宋体" w:cs="宋体"/>
                <w:i w:val="0"/>
                <w:iCs w:val="0"/>
                <w:color w:val="auto"/>
                <w:kern w:val="2"/>
                <w:sz w:val="21"/>
                <w:szCs w:val="21"/>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9.3</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有线网络连接</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支持将无人机遥控器通过Type-C转接头，有线网络与一体机通信；</w:t>
            </w:r>
          </w:p>
        </w:tc>
        <w:tc>
          <w:tcPr>
            <w:tcW w:w="1433" w:type="dxa"/>
            <w:vAlign w:val="center"/>
          </w:tcPr>
          <w:p>
            <w:pPr>
              <w:widowControl/>
              <w:jc w:val="both"/>
              <w:rPr>
                <w:rFonts w:hint="eastAsia" w:ascii="宋体" w:hAnsi="宋体" w:eastAsia="宋体" w:cs="宋体"/>
                <w:i w:val="0"/>
                <w:iCs w:val="0"/>
                <w:color w:val="auto"/>
                <w:kern w:val="2"/>
                <w:sz w:val="21"/>
                <w:szCs w:val="21"/>
                <w:highlight w:val="yellow"/>
                <w:u w:val="none"/>
                <w:lang w:val="en-US" w:eastAsia="zh-CN" w:bidi="ar"/>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9.4</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无人机地面站控制功能</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支持以地面站程序形式控制机巢无人机，下发控制指令或航线文件，控制无人机完成指定飞行动作，并采集数据信息；</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9.5</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无人机任务管理</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按时间顺序排列无人机巡检任务队列，展示任务详情，支持任务编辑、修改和下发；</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9.6</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巡检任务类型</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支持精细化巡检；</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9.7</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kern w:val="2"/>
                <w:sz w:val="21"/>
                <w:szCs w:val="21"/>
                <w:highlight w:val="none"/>
                <w:lang w:val="en-US" w:eastAsia="zh-CN" w:bidi="ar-SA"/>
              </w:rPr>
              <w:t>★</w:t>
            </w:r>
            <w:r>
              <w:rPr>
                <w:rFonts w:hint="eastAsia" w:ascii="Times New Roman" w:hAnsi="Times New Roman" w:eastAsia="宋体" w:cs="Times New Roman"/>
                <w:color w:val="auto"/>
                <w:kern w:val="2"/>
                <w:sz w:val="21"/>
                <w:szCs w:val="21"/>
                <w:highlight w:val="none"/>
                <w:lang w:val="en-US" w:eastAsia="zh-CN" w:bidi="ar-SA"/>
              </w:rPr>
              <w:t>执行航线选取</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支持本地文件库选取规划的航线下发；</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shd w:val="clear" w:color="auto" w:fill="auto"/>
            <w:vAlign w:val="center"/>
          </w:tcPr>
          <w:p>
            <w:pPr>
              <w:jc w:val="both"/>
              <w:rPr>
                <w:rFonts w:ascii="宋体" w:hAnsi="宋体" w:eastAsia="宋体" w:cs="宋体"/>
                <w:kern w:val="0"/>
                <w:sz w:val="21"/>
                <w:szCs w:val="21"/>
                <w:lang w:val="en-US" w:eastAsia="zh-CN" w:bidi="ar-SA"/>
              </w:rPr>
            </w:pPr>
            <w:r>
              <w:rPr>
                <w:rFonts w:hint="eastAsia" w:ascii="宋体" w:hAnsi="宋体" w:eastAsia="宋体" w:cs="宋体"/>
                <w:snapToGrid w:val="0"/>
                <w:color w:val="000000"/>
                <w:spacing w:val="-2"/>
                <w:kern w:val="0"/>
                <w:sz w:val="21"/>
                <w:szCs w:val="21"/>
                <w:highlight w:val="none"/>
                <w:lang w:val="en-US" w:eastAsia="zh-CN" w:bidi="ar-SA"/>
              </w:rPr>
              <w:t>须提供检测报告和相关证明材料（软件提供系统截图、硬件提供实物照片）并加盖生产厂商印章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9.8</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任务创建</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可自定义任务名称、执行的航线杆塔范围；</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9.9</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任务下发</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支持查看设备的连接状况，将巡检任务下发给指定无人机执行；</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9.10</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模拟飞行</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系统可执行模拟飞行，展示任务效果；</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9.11</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飞行参数</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支持设置飞行高度、飞行速度等巡检参数；</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9.12</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实时监控</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飞行过程实时展示电池电量、飞行速度、飞行高度等动态数据；</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9.13</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轨迹展示</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展示无人机飞行的动态航线轨迹路径；</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9.14</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视频展示</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展示无人机的云台现场视频画面；</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9.15</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heme="minorEastAsia" w:hAnsiTheme="minorEastAsia" w:eastAsiaTheme="minorEastAsia" w:cstheme="minorEastAsia"/>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数据集成</w:t>
            </w:r>
          </w:p>
        </w:tc>
        <w:tc>
          <w:tcPr>
            <w:tcW w:w="2550" w:type="dxa"/>
            <w:vAlign w:val="center"/>
          </w:tcPr>
          <w:p>
            <w:pPr>
              <w:keepNext w:val="0"/>
              <w:keepLines w:val="0"/>
              <w:widowControl/>
              <w:suppressLineNumbers w:val="0"/>
              <w:jc w:val="both"/>
              <w:textAlignment w:val="auto"/>
              <w:rPr>
                <w:rFonts w:hint="eastAsia" w:ascii="宋体" w:hAnsi="宋体" w:cs="宋体"/>
                <w:i w:val="0"/>
                <w:iCs w:val="0"/>
                <w:color w:val="auto"/>
                <w:kern w:val="2"/>
                <w:sz w:val="21"/>
                <w:szCs w:val="21"/>
                <w:highlight w:val="yellow"/>
                <w:u w:val="none"/>
                <w:lang w:val="en-US" w:eastAsia="zh-CN" w:bidi="ar"/>
              </w:rPr>
            </w:pPr>
            <w:r>
              <w:rPr>
                <w:rFonts w:hint="eastAsia" w:ascii="Times New Roman" w:hAnsi="Times New Roman" w:eastAsia="宋体" w:cs="Times New Roman"/>
                <w:color w:val="auto"/>
                <w:kern w:val="2"/>
                <w:sz w:val="21"/>
                <w:szCs w:val="21"/>
                <w:highlight w:val="none"/>
                <w:lang w:val="en-US" w:eastAsia="zh-CN" w:bidi="ar-SA"/>
              </w:rPr>
              <w:t>支持利用APN卡将巡检的结果数据回传至机巡云巢系统，巡检数据支持与南网统一机巡平台集成应用</w:t>
            </w:r>
            <w:r>
              <w:rPr>
                <w:rFonts w:hint="eastAsia" w:cs="Times New Roman"/>
                <w:color w:val="auto"/>
                <w:kern w:val="2"/>
                <w:sz w:val="21"/>
                <w:szCs w:val="21"/>
                <w:highlight w:val="none"/>
                <w:lang w:val="en-US" w:eastAsia="zh-CN" w:bidi="ar-SA"/>
              </w:rPr>
              <w:t>。</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ascii="宋体" w:hAnsi="宋体" w:cs="宋体"/>
                <w:kern w:val="0"/>
                <w:szCs w:val="21"/>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6897" w:type="dxa"/>
          <w:cantSplit/>
          <w:trHeight w:val="618" w:hRule="atLeast"/>
          <w:jc w:val="center"/>
        </w:trPr>
        <w:tc>
          <w:tcPr>
            <w:tcW w:w="926" w:type="dxa"/>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cs="Times New Roman"/>
                <w:color w:val="auto"/>
                <w:kern w:val="2"/>
                <w:sz w:val="21"/>
                <w:szCs w:val="21"/>
                <w:highlight w:val="none"/>
                <w:lang w:val="en-US" w:eastAsia="zh-CN" w:bidi="ar-SA"/>
              </w:rPr>
              <w:t>航线规划模块</w:t>
            </w:r>
          </w:p>
        </w:tc>
        <w:tc>
          <w:tcPr>
            <w:tcW w:w="2550"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left"/>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宋体" w:hAnsi="宋体" w:eastAsia="宋体" w:cs="宋体"/>
                <w:sz w:val="21"/>
                <w:szCs w:val="21"/>
                <w:lang w:val="en-US" w:eastAsia="zh-CN"/>
              </w:rPr>
              <w:t>基于输电杆塔坐标分布或历史工程台账，自动配准三维高精度点云数据所属线路台账和杆塔区位；基于点云数据拍摄目标，结合无人机的航向、经纬度、高程、云台角度、变焦倍数，实现航线规划；</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widowControl/>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点云文件导入</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支持标准的LAS文件导入到系统中，并能检测LAS文件的合规性；</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10.3</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修改点云信息</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点击可修改文件信息，如文件名称、UTM信息；</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10.4</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删除点云</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勾选一条或多条文件，点击删除按钮，可以删除文件；</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10.5</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下载点云</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点击可下载点云文件；</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10.6</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复制点云</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复制一份点云文件副本；</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10.7</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电压等级设置</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设置规划线路的电压等级；</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10.8</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所属线路绑定</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持获取南网设备中心的线路台账信息并与工程绑定；</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10.9</w:t>
            </w:r>
          </w:p>
        </w:tc>
        <w:tc>
          <w:tcPr>
            <w:tcW w:w="1297" w:type="dxa"/>
            <w:vAlign w:val="center"/>
          </w:tcPr>
          <w:p>
            <w:pPr>
              <w:pStyle w:val="18"/>
              <w:keepNext w:val="0"/>
              <w:keepLines w:val="0"/>
              <w:widowControl/>
              <w:suppressLineNumbers w:val="0"/>
              <w:ind w:left="0" w:leftChars="0" w:right="0" w:rightChars="0"/>
              <w:jc w:val="both"/>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点云展示</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可根据高程、分类和彩色类型展示点云；</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10.10</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标记杆塔</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通过鼠标点击快速标记点云中的杆塔位置；</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10.11</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KML导入</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支持导入杆塔的KML文件自动标记杆塔；</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10.12</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杆塔命名</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可对杆塔批量命名；</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10.13</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杆塔台账绑定</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获取南网设备中心的杆塔台账信息并支持绑定标记杆塔；</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10.14</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拍摄点标记</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基于展示的点云标记无人机的拍摄点位；</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10.15</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航点生成</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编辑拍摄点的同时自动生成该拍摄点的无人机航点位置；</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10.16</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航点默认距离设置</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可设置航点距拍摄点的默认距离；</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10.17</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机身朝向设置</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可设置每个航点中无人机的机身朝向角度；</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10.18</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云台角度设置</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可设置每个航点中无人机的云台角度；</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10.19</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一点多拍设置</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支持在同一航点上进行至少2个拍照动作设置；</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10.20</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辅助点标记</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可将普通航点转换为辅助点；</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10.21</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拍摄点命名</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基于常规杆塔结构对拍摄点进行预定义名称命名；</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10.22</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航点删除</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对航点及对应的拍摄点进行删除；</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10.23</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航点顺序调整</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调整航点的顺序，拖动航点调整，支持逆序调整；</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10.24</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航点复制</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支持选择</w:t>
            </w:r>
            <w:r>
              <w:rPr>
                <w:rFonts w:hint="eastAsia" w:ascii="Times New Roman" w:hAnsi="Times New Roman" w:cs="Times New Roman"/>
                <w:color w:val="auto"/>
                <w:kern w:val="2"/>
                <w:sz w:val="21"/>
                <w:szCs w:val="21"/>
                <w:highlight w:val="none"/>
                <w:lang w:val="en-US" w:eastAsia="zh-CN" w:bidi="ar-SA"/>
              </w:rPr>
              <w:t>单个</w:t>
            </w:r>
            <w:r>
              <w:rPr>
                <w:rFonts w:hint="eastAsia" w:ascii="Times New Roman" w:hAnsi="Times New Roman" w:eastAsia="宋体" w:cs="Times New Roman"/>
                <w:color w:val="auto"/>
                <w:kern w:val="2"/>
                <w:sz w:val="21"/>
                <w:szCs w:val="21"/>
                <w:highlight w:val="none"/>
                <w:lang w:val="en-US" w:eastAsia="zh-CN" w:bidi="ar-SA"/>
              </w:rPr>
              <w:t>航点进行复制；</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10.25</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风险检测</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根据设置的安全距离检测规划的航线的安全性；</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10.26</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航线导入</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支持KML、KMZ航线文件的导入；</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10.27</w:t>
            </w:r>
          </w:p>
        </w:tc>
        <w:tc>
          <w:tcPr>
            <w:tcW w:w="1297" w:type="dxa"/>
            <w:vAlign w:val="center"/>
          </w:tcPr>
          <w:p>
            <w:pPr>
              <w:keepNext w:val="0"/>
              <w:keepLines w:val="0"/>
              <w:pageBreakBefore w:val="0"/>
              <w:widowControl w:val="0"/>
              <w:kinsoku/>
              <w:wordWrap w:val="0"/>
              <w:overflowPunct/>
              <w:topLinePunct w:val="0"/>
              <w:autoSpaceDE/>
              <w:autoSpaceDN/>
              <w:bidi w:val="0"/>
              <w:adjustRightInd w:val="0"/>
              <w:snapToGrid w:val="0"/>
              <w:spacing w:line="240" w:lineRule="auto"/>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航线生成</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生成KML、KMZ航线并导出；</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926" w:type="dxa"/>
            <w:vAlign w:val="center"/>
          </w:tcPr>
          <w:p>
            <w:pPr>
              <w:widowControl/>
              <w:jc w:val="center"/>
              <w:rPr>
                <w:rFonts w:hint="eastAsia" w:ascii="宋体" w:hAnsi="宋体" w:cs="宋体"/>
                <w:kern w:val="0"/>
                <w:szCs w:val="21"/>
                <w:lang w:val="en-US" w:eastAsia="zh-CN"/>
              </w:rPr>
            </w:pPr>
            <w:r>
              <w:rPr>
                <w:rFonts w:hint="eastAsia" w:ascii="宋体" w:hAnsi="宋体" w:cs="宋体"/>
                <w:kern w:val="0"/>
                <w:szCs w:val="21"/>
                <w:lang w:val="en-US" w:eastAsia="zh-CN"/>
              </w:rPr>
              <w:t>10.28</w:t>
            </w:r>
          </w:p>
        </w:tc>
        <w:tc>
          <w:tcPr>
            <w:tcW w:w="1297" w:type="dxa"/>
            <w:vAlign w:val="center"/>
          </w:tcPr>
          <w:p>
            <w:pPr>
              <w:spacing w:line="360" w:lineRule="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航线复制</w:t>
            </w:r>
          </w:p>
        </w:tc>
        <w:tc>
          <w:tcPr>
            <w:tcW w:w="2550" w:type="dxa"/>
            <w:vAlign w:val="center"/>
          </w:tcPr>
          <w:p>
            <w:pPr>
              <w:keepNext w:val="0"/>
              <w:keepLines w:val="0"/>
              <w:widowControl/>
              <w:suppressLineNumbers w:val="0"/>
              <w:jc w:val="both"/>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1"/>
                <w:highlight w:val="none"/>
                <w:lang w:val="en-US" w:eastAsia="zh-CN" w:bidi="ar-SA"/>
              </w:rPr>
              <w:t>复制杆塔部件航线到其他杆塔；</w:t>
            </w:r>
          </w:p>
        </w:tc>
        <w:tc>
          <w:tcPr>
            <w:tcW w:w="1433" w:type="dxa"/>
            <w:vAlign w:val="center"/>
          </w:tcPr>
          <w:p>
            <w:pPr>
              <w:widowControl/>
              <w:jc w:val="both"/>
              <w:rPr>
                <w:rFonts w:hint="eastAsia" w:ascii="Times New Roman" w:hAnsi="Times New Roman" w:eastAsia="宋体" w:cs="Times New Roman"/>
                <w:color w:val="auto"/>
                <w:kern w:val="2"/>
                <w:sz w:val="21"/>
                <w:szCs w:val="21"/>
                <w:highlight w:val="none"/>
                <w:lang w:val="en-US" w:eastAsia="zh-CN" w:bidi="ar-SA"/>
              </w:rPr>
            </w:pPr>
          </w:p>
        </w:tc>
        <w:tc>
          <w:tcPr>
            <w:tcW w:w="1617" w:type="dxa"/>
            <w:vAlign w:val="center"/>
          </w:tcPr>
          <w:p>
            <w:pPr>
              <w:jc w:val="both"/>
              <w:rPr>
                <w:rFonts w:hint="eastAsia" w:ascii="宋体" w:hAnsi="宋体" w:eastAsia="宋体" w:cs="宋体"/>
                <w:snapToGrid w:val="0"/>
                <w:color w:val="000000"/>
                <w:spacing w:val="-2"/>
                <w:kern w:val="0"/>
                <w:sz w:val="21"/>
                <w:szCs w:val="21"/>
                <w:highlight w:val="none"/>
                <w:lang w:val="en-US" w:eastAsia="zh-CN" w:bidi="ar-SA"/>
              </w:rPr>
            </w:pPr>
            <w:r>
              <w:rPr>
                <w:rFonts w:hint="eastAsia" w:ascii="宋体" w:hAnsi="宋体" w:cs="宋体"/>
                <w:snapToGrid w:val="0"/>
                <w:color w:val="000000"/>
                <w:spacing w:val="-2"/>
                <w:kern w:val="0"/>
                <w:sz w:val="21"/>
                <w:szCs w:val="21"/>
                <w:highlight w:val="none"/>
                <w:lang w:val="en-US" w:eastAsia="zh-CN" w:bidi="ar-SA"/>
              </w:rPr>
              <w:t>试验报告、说明书、保证函等</w:t>
            </w:r>
          </w:p>
        </w:tc>
      </w:tr>
    </w:tbl>
    <w:p>
      <w:pPr>
        <w:jc w:val="center"/>
      </w:pPr>
    </w:p>
    <w:p>
      <w:pPr>
        <w:jc w:val="left"/>
        <w:outlineLvl w:val="1"/>
        <w:rPr>
          <w:rFonts w:ascii="宋体" w:hAnsi="宋体"/>
          <w:szCs w:val="21"/>
        </w:rPr>
      </w:pPr>
      <w:bookmarkStart w:id="22" w:name="_Toc18759"/>
      <w:bookmarkStart w:id="23" w:name="_Toc31847"/>
      <w:r>
        <w:rPr>
          <w:rFonts w:hint="eastAsia" w:ascii="宋体" w:hAnsi="宋体"/>
          <w:szCs w:val="21"/>
          <w:lang w:eastAsia="zh-CN"/>
        </w:rPr>
        <w:t>表3</w:t>
      </w:r>
      <w:r>
        <w:rPr>
          <w:rFonts w:hint="eastAsia" w:ascii="宋体" w:hAnsi="宋体"/>
          <w:szCs w:val="21"/>
        </w:rPr>
        <w:t>.</w:t>
      </w:r>
      <w:r>
        <w:rPr>
          <w:rFonts w:hint="eastAsia" w:ascii="宋体" w:hAnsi="宋体"/>
          <w:szCs w:val="21"/>
          <w:lang w:val="en-US" w:eastAsia="zh-CN"/>
        </w:rPr>
        <w:t xml:space="preserve">5 </w:t>
      </w:r>
      <w:r>
        <w:rPr>
          <w:rFonts w:hint="eastAsia" w:ascii="宋体" w:hAnsi="宋体" w:eastAsia="宋体"/>
          <w:szCs w:val="21"/>
        </w:rPr>
        <w:t xml:space="preserve"> </w:t>
      </w:r>
      <w:r>
        <w:rPr>
          <w:rFonts w:hint="eastAsia" w:ascii="宋体" w:hAnsi="宋体"/>
          <w:szCs w:val="21"/>
          <w:lang w:val="en-US" w:eastAsia="zh-CN"/>
        </w:rPr>
        <w:t>智能机载巡检模块（RTK版）</w:t>
      </w:r>
      <w:r>
        <w:rPr>
          <w:rFonts w:hint="eastAsia" w:ascii="宋体" w:hAnsi="宋体" w:eastAsia="宋体"/>
          <w:szCs w:val="21"/>
        </w:rPr>
        <w:t>标准</w:t>
      </w:r>
      <w:r>
        <w:rPr>
          <w:rFonts w:hint="eastAsia" w:ascii="宋体" w:hAnsi="宋体"/>
          <w:szCs w:val="21"/>
        </w:rPr>
        <w:t>技术特性参数</w:t>
      </w:r>
      <w:r>
        <w:rPr>
          <w:rFonts w:hint="eastAsia" w:ascii="宋体" w:hAnsi="宋体" w:eastAsia="宋体" w:cs="宋体"/>
        </w:rPr>
        <w:t>和性能要求响应</w:t>
      </w:r>
      <w:r>
        <w:rPr>
          <w:rFonts w:hint="eastAsia" w:ascii="宋体" w:hAnsi="宋体"/>
          <w:szCs w:val="21"/>
        </w:rPr>
        <w:t>表（投标方填写）</w:t>
      </w:r>
      <w:bookmarkEnd w:id="22"/>
      <w:bookmarkEnd w:id="23"/>
    </w:p>
    <w:tbl>
      <w:tblPr>
        <w:tblStyle w:val="20"/>
        <w:tblW w:w="9257"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94"/>
        <w:gridCol w:w="1686"/>
        <w:gridCol w:w="1223"/>
        <w:gridCol w:w="1944"/>
        <w:gridCol w:w="15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68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w:t>
            </w:r>
          </w:p>
        </w:tc>
        <w:tc>
          <w:tcPr>
            <w:tcW w:w="1223"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94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项目要求值</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投标方保证值</w:t>
            </w:r>
          </w:p>
        </w:tc>
        <w:tc>
          <w:tcPr>
            <w:tcW w:w="171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68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尺寸</w:t>
            </w:r>
          </w:p>
        </w:tc>
        <w:tc>
          <w:tcPr>
            <w:tcW w:w="122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mm</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≤10</w:t>
            </w:r>
            <w:r>
              <w:rPr>
                <w:rFonts w:hint="eastAsia" w:ascii="宋体" w:hAnsi="宋体" w:cs="宋体"/>
                <w:color w:val="000000"/>
                <w:kern w:val="0"/>
                <w:szCs w:val="21"/>
                <w:lang w:val="en-US" w:eastAsia="zh-CN"/>
              </w:rPr>
              <w:t>9</w:t>
            </w:r>
            <w:r>
              <w:rPr>
                <w:rFonts w:hint="eastAsia" w:ascii="宋体" w:hAnsi="宋体" w:eastAsia="宋体" w:cs="宋体"/>
                <w:color w:val="000000"/>
                <w:kern w:val="0"/>
                <w:szCs w:val="21"/>
                <w:lang w:val="en-US" w:eastAsia="zh-CN"/>
              </w:rPr>
              <w:t>mm×9</w:t>
            </w:r>
            <w:r>
              <w:rPr>
                <w:rFonts w:hint="eastAsia" w:ascii="宋体" w:hAnsi="宋体" w:cs="宋体"/>
                <w:color w:val="000000"/>
                <w:kern w:val="0"/>
                <w:szCs w:val="21"/>
                <w:lang w:val="en-US" w:eastAsia="zh-CN"/>
              </w:rPr>
              <w:t>9</w:t>
            </w:r>
            <w:r>
              <w:rPr>
                <w:rFonts w:hint="eastAsia" w:ascii="宋体" w:hAnsi="宋体" w:eastAsia="宋体" w:cs="宋体"/>
                <w:color w:val="000000"/>
                <w:kern w:val="0"/>
                <w:szCs w:val="21"/>
                <w:lang w:val="en-US" w:eastAsia="zh-CN"/>
              </w:rPr>
              <w:t>mm×9</w:t>
            </w:r>
            <w:r>
              <w:rPr>
                <w:rFonts w:hint="eastAsia" w:ascii="宋体" w:hAnsi="宋体" w:cs="宋体"/>
                <w:color w:val="000000"/>
                <w:kern w:val="0"/>
                <w:szCs w:val="21"/>
                <w:lang w:val="en-US" w:eastAsia="zh-CN"/>
              </w:rPr>
              <w:t>5</w:t>
            </w:r>
            <w:r>
              <w:rPr>
                <w:rFonts w:hint="eastAsia" w:ascii="宋体" w:hAnsi="宋体" w:eastAsia="宋体" w:cs="宋体"/>
                <w:color w:val="000000"/>
                <w:kern w:val="0"/>
                <w:szCs w:val="21"/>
                <w:lang w:val="en-US" w:eastAsia="zh-CN"/>
              </w:rPr>
              <w:t>mm</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kern w:val="0"/>
                <w:sz w:val="24"/>
                <w:szCs w:val="24"/>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w:t>
            </w:r>
          </w:p>
        </w:tc>
        <w:tc>
          <w:tcPr>
            <w:tcW w:w="168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重量</w:t>
            </w:r>
          </w:p>
        </w:tc>
        <w:tc>
          <w:tcPr>
            <w:tcW w:w="122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g</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≤1</w:t>
            </w:r>
            <w:r>
              <w:rPr>
                <w:rFonts w:hint="eastAsia" w:ascii="宋体" w:hAnsi="宋体" w:cs="宋体"/>
                <w:color w:val="000000"/>
                <w:kern w:val="0"/>
                <w:szCs w:val="21"/>
                <w:lang w:val="en-US" w:eastAsia="zh-CN"/>
              </w:rPr>
              <w:t>92</w:t>
            </w:r>
            <w:r>
              <w:rPr>
                <w:rFonts w:hint="eastAsia" w:ascii="宋体" w:hAnsi="宋体" w:eastAsia="宋体" w:cs="宋体"/>
                <w:color w:val="000000"/>
                <w:kern w:val="0"/>
                <w:szCs w:val="21"/>
                <w:lang w:val="en-US" w:eastAsia="zh-CN"/>
              </w:rPr>
              <w:t>g</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3</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设备状态展示</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支持</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4</w:t>
            </w:r>
          </w:p>
        </w:tc>
        <w:tc>
          <w:tcPr>
            <w:tcW w:w="168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外壳防护</w:t>
            </w:r>
          </w:p>
        </w:tc>
        <w:tc>
          <w:tcPr>
            <w:tcW w:w="122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不低于IP34</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5</w:t>
            </w:r>
          </w:p>
        </w:tc>
        <w:tc>
          <w:tcPr>
            <w:tcW w:w="1686"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使用环境温度</w:t>
            </w:r>
          </w:p>
        </w:tc>
        <w:tc>
          <w:tcPr>
            <w:tcW w:w="122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-30℃～45℃</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6</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散热方式</w:t>
            </w:r>
          </w:p>
        </w:tc>
        <w:tc>
          <w:tcPr>
            <w:tcW w:w="1223"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风扇</w:t>
            </w:r>
            <w:r>
              <w:rPr>
                <w:rFonts w:hint="eastAsia" w:ascii="宋体" w:hAnsi="宋体" w:eastAsia="宋体" w:cs="宋体"/>
                <w:color w:val="000000"/>
                <w:kern w:val="0"/>
                <w:szCs w:val="21"/>
                <w:lang w:val="en-US" w:eastAsia="zh-CN"/>
              </w:rPr>
              <w:t>散热</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7</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供电方式</w:t>
            </w:r>
          </w:p>
        </w:tc>
        <w:tc>
          <w:tcPr>
            <w:tcW w:w="1223"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color w:val="000000"/>
                <w:kern w:val="0"/>
                <w:szCs w:val="21"/>
                <w:lang w:val="en-US" w:eastAsia="zh-CN"/>
              </w:rPr>
              <w:t>无人机</w:t>
            </w:r>
            <w:r>
              <w:rPr>
                <w:rFonts w:hint="eastAsia" w:ascii="宋体" w:hAnsi="宋体" w:cs="宋体"/>
                <w:color w:val="000000"/>
                <w:kern w:val="0"/>
                <w:szCs w:val="21"/>
                <w:lang w:val="en-US" w:eastAsia="zh-CN"/>
              </w:rPr>
              <w:t>直插</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8</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RTK模组</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配备</w:t>
            </w:r>
            <w:r>
              <w:rPr>
                <w:rFonts w:hint="eastAsia" w:ascii="宋体" w:hAnsi="宋体" w:eastAsia="宋体" w:cs="宋体"/>
                <w:color w:val="000000"/>
                <w:kern w:val="0"/>
                <w:szCs w:val="21"/>
                <w:lang w:val="en-US" w:eastAsia="zh-CN"/>
              </w:rPr>
              <w:t>RTK模块</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9</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连接方式</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Type-C</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10</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外部接口</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具备SIM、Type-C接口</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11</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功耗</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W</w:t>
            </w:r>
          </w:p>
        </w:tc>
        <w:tc>
          <w:tcPr>
            <w:tcW w:w="1944"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color w:val="000000"/>
                <w:kern w:val="0"/>
                <w:szCs w:val="21"/>
                <w:lang w:val="en-US" w:eastAsia="zh-CN"/>
              </w:rPr>
              <w:t>≤25W</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12</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远程升级</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支持远程升级</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13</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AI性能</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≥40TOPS</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14</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cs="宋体"/>
                <w:color w:val="000000"/>
                <w:kern w:val="0"/>
                <w:szCs w:val="21"/>
                <w:lang w:val="en-US" w:eastAsia="zh-CN"/>
              </w:rPr>
              <w:t>通信延时</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ms</w:t>
            </w:r>
          </w:p>
        </w:tc>
        <w:tc>
          <w:tcPr>
            <w:tcW w:w="1944"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＜500ms</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15</w:t>
            </w:r>
          </w:p>
        </w:tc>
        <w:tc>
          <w:tcPr>
            <w:tcW w:w="1686"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数据通信</w:t>
            </w:r>
          </w:p>
        </w:tc>
        <w:tc>
          <w:tcPr>
            <w:tcW w:w="1223"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可正确</w:t>
            </w:r>
            <w:r>
              <w:rPr>
                <w:rFonts w:hint="eastAsia"/>
                <w:lang w:val="en-US" w:eastAsia="zh-CN"/>
              </w:rPr>
              <w:t>收发数据，包括巡检任务下发，图片视频上传等</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16</w:t>
            </w:r>
          </w:p>
        </w:tc>
        <w:tc>
          <w:tcPr>
            <w:tcW w:w="1686" w:type="dxa"/>
            <w:shd w:val="clear" w:color="auto" w:fill="auto"/>
            <w:vAlign w:val="center"/>
          </w:tcPr>
          <w:p>
            <w:pPr>
              <w:widowControl/>
              <w:jc w:val="left"/>
              <w:rPr>
                <w:rFonts w:hint="default"/>
                <w:highlight w:val="none"/>
                <w:lang w:val="en-US" w:eastAsia="zh-CN"/>
              </w:rPr>
            </w:pPr>
            <w:r>
              <w:rPr>
                <w:rFonts w:hint="eastAsia"/>
                <w:highlight w:val="none"/>
                <w:lang w:val="en-US" w:eastAsia="zh-CN"/>
              </w:rPr>
              <w:t>机型适配</w:t>
            </w:r>
          </w:p>
        </w:tc>
        <w:tc>
          <w:tcPr>
            <w:tcW w:w="1223" w:type="dxa"/>
            <w:shd w:val="clear" w:color="auto" w:fill="auto"/>
            <w:vAlign w:val="center"/>
          </w:tcPr>
          <w:p>
            <w:pPr>
              <w:widowControl/>
              <w:jc w:val="left"/>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可适配多旋翼红外可见光一体化无人机B</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1"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17</w:t>
            </w:r>
          </w:p>
        </w:tc>
        <w:tc>
          <w:tcPr>
            <w:tcW w:w="1686"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lang w:val="en-US" w:eastAsia="zh-CN"/>
              </w:rPr>
              <w:t>应用</w:t>
            </w:r>
            <w:r>
              <w:rPr>
                <w:rFonts w:hint="eastAsia"/>
              </w:rPr>
              <w:t>功能</w:t>
            </w:r>
          </w:p>
        </w:tc>
        <w:tc>
          <w:tcPr>
            <w:tcW w:w="1223"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可自主电网设备巡检，包含</w:t>
            </w:r>
            <w:r>
              <w:rPr>
                <w:rFonts w:hint="eastAsia" w:hAnsi="Times New Roman" w:cs="Times New Roman"/>
                <w:lang w:val="en-US" w:eastAsia="zh-CN"/>
              </w:rPr>
              <w:t>智能居中抓拍、自动对变焦、自适应尺寸、智能感应曝光等</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18</w:t>
            </w:r>
          </w:p>
        </w:tc>
        <w:tc>
          <w:tcPr>
            <w:tcW w:w="1686" w:type="dxa"/>
            <w:shd w:val="clear" w:color="auto" w:fill="auto"/>
            <w:vAlign w:val="center"/>
          </w:tcPr>
          <w:p>
            <w:pPr>
              <w:widowControl/>
              <w:jc w:val="left"/>
              <w:rPr>
                <w:rFonts w:hint="eastAsia"/>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★拍摄点数量设定</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可以设定单杆塔一个拍摄点、三个拍摄点巡检模式</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19</w:t>
            </w:r>
          </w:p>
        </w:tc>
        <w:tc>
          <w:tcPr>
            <w:tcW w:w="1686" w:type="dxa"/>
            <w:shd w:val="clear" w:color="auto" w:fill="auto"/>
            <w:vAlign w:val="center"/>
          </w:tcPr>
          <w:p>
            <w:pPr>
              <w:widowControl/>
              <w:jc w:val="left"/>
              <w:rPr>
                <w:rFonts w:hint="eastAsia"/>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★巡检状态监控</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支持对无人机飞行状态指示进行监控</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20</w:t>
            </w:r>
          </w:p>
        </w:tc>
        <w:tc>
          <w:tcPr>
            <w:tcW w:w="1686" w:type="dxa"/>
            <w:shd w:val="clear" w:color="auto" w:fill="auto"/>
            <w:vAlign w:val="center"/>
          </w:tcPr>
          <w:p>
            <w:pPr>
              <w:widowControl/>
              <w:jc w:val="left"/>
              <w:rPr>
                <w:rFonts w:hint="eastAsia"/>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航线规划</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支持选择连续杆塔规划航线</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21</w:t>
            </w:r>
          </w:p>
        </w:tc>
        <w:tc>
          <w:tcPr>
            <w:tcW w:w="1686" w:type="dxa"/>
            <w:shd w:val="clear" w:color="auto" w:fill="auto"/>
            <w:vAlign w:val="center"/>
          </w:tcPr>
          <w:p>
            <w:pPr>
              <w:widowControl/>
              <w:jc w:val="left"/>
              <w:rPr>
                <w:rFonts w:hint="eastAsia"/>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杆塔信息录入</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支持人工录入杆塔台账</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22</w:t>
            </w:r>
          </w:p>
        </w:tc>
        <w:tc>
          <w:tcPr>
            <w:tcW w:w="1686" w:type="dxa"/>
            <w:shd w:val="clear" w:color="auto" w:fill="auto"/>
            <w:vAlign w:val="center"/>
          </w:tcPr>
          <w:p>
            <w:pPr>
              <w:widowControl/>
              <w:jc w:val="left"/>
              <w:rPr>
                <w:rFonts w:hint="eastAsia"/>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返航策略</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支持</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bl>
    <w:p>
      <w:pPr>
        <w:rPr>
          <w:rFonts w:ascii="宋体" w:hAnsi="宋体" w:cs="宋体"/>
          <w:szCs w:val="21"/>
        </w:rPr>
      </w:pPr>
    </w:p>
    <w:p>
      <w:pPr>
        <w:jc w:val="left"/>
        <w:outlineLvl w:val="1"/>
        <w:rPr>
          <w:rFonts w:hint="eastAsia"/>
          <w:szCs w:val="21"/>
        </w:rPr>
      </w:pPr>
      <w:bookmarkStart w:id="24" w:name="_Toc474"/>
      <w:bookmarkStart w:id="25" w:name="_Toc31995"/>
      <w:r>
        <w:rPr>
          <w:rFonts w:hint="eastAsia" w:ascii="宋体" w:hAnsi="宋体"/>
          <w:szCs w:val="21"/>
          <w:lang w:eastAsia="zh-CN"/>
        </w:rPr>
        <w:t>表3</w:t>
      </w:r>
      <w:r>
        <w:rPr>
          <w:rFonts w:ascii="宋体" w:hAnsi="宋体"/>
          <w:szCs w:val="21"/>
        </w:rPr>
        <w:t>.</w:t>
      </w:r>
      <w:r>
        <w:rPr>
          <w:rFonts w:hint="eastAsia" w:ascii="宋体" w:hAnsi="宋体"/>
          <w:szCs w:val="21"/>
          <w:lang w:val="en-US" w:eastAsia="zh-CN"/>
        </w:rPr>
        <w:t>6</w:t>
      </w:r>
      <w:r>
        <w:rPr>
          <w:rFonts w:hint="eastAsia" w:ascii="宋体" w:hAnsi="宋体"/>
          <w:szCs w:val="21"/>
        </w:rPr>
        <w:t xml:space="preserve">  </w:t>
      </w:r>
      <w:r>
        <w:rPr>
          <w:rFonts w:hint="eastAsia" w:ascii="宋体" w:hAnsi="宋体"/>
          <w:szCs w:val="21"/>
          <w:lang w:val="en-US" w:eastAsia="zh-CN"/>
        </w:rPr>
        <w:t xml:space="preserve">智能机载巡检模块 </w:t>
      </w:r>
      <w:r>
        <w:rPr>
          <w:rFonts w:hint="eastAsia" w:ascii="宋体" w:hAnsi="宋体" w:eastAsia="宋体" w:cs="宋体"/>
        </w:rPr>
        <w:t>标准技术</w:t>
      </w:r>
      <w:r>
        <w:rPr>
          <w:rFonts w:hint="eastAsia" w:ascii="宋体" w:hAnsi="宋体"/>
          <w:szCs w:val="21"/>
        </w:rPr>
        <w:t>特性</w:t>
      </w:r>
      <w:r>
        <w:rPr>
          <w:rFonts w:ascii="宋体" w:hAnsi="宋体"/>
          <w:szCs w:val="21"/>
        </w:rPr>
        <w:t>参数</w:t>
      </w:r>
      <w:r>
        <w:rPr>
          <w:rFonts w:hint="eastAsia" w:ascii="宋体" w:hAnsi="宋体" w:eastAsia="宋体" w:cs="宋体"/>
        </w:rPr>
        <w:t>和性能要求响应</w:t>
      </w:r>
      <w:r>
        <w:rPr>
          <w:rFonts w:ascii="宋体" w:hAnsi="宋体"/>
          <w:szCs w:val="21"/>
        </w:rPr>
        <w:t>表</w:t>
      </w:r>
      <w:r>
        <w:rPr>
          <w:rFonts w:hint="eastAsia"/>
          <w:szCs w:val="21"/>
        </w:rPr>
        <w:t>（投标方填写）</w:t>
      </w:r>
      <w:bookmarkEnd w:id="24"/>
      <w:bookmarkEnd w:id="25"/>
    </w:p>
    <w:tbl>
      <w:tblPr>
        <w:tblStyle w:val="20"/>
        <w:tblW w:w="9257"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94"/>
        <w:gridCol w:w="1686"/>
        <w:gridCol w:w="1223"/>
        <w:gridCol w:w="1944"/>
        <w:gridCol w:w="15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68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w:t>
            </w:r>
          </w:p>
        </w:tc>
        <w:tc>
          <w:tcPr>
            <w:tcW w:w="1223"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194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项目要求值</w:t>
            </w:r>
          </w:p>
        </w:tc>
        <w:tc>
          <w:tcPr>
            <w:tcW w:w="159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投标方保证值</w:t>
            </w:r>
          </w:p>
        </w:tc>
        <w:tc>
          <w:tcPr>
            <w:tcW w:w="171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尺寸</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mm</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≤1</w:t>
            </w:r>
            <w:r>
              <w:rPr>
                <w:rFonts w:hint="eastAsia" w:ascii="宋体" w:hAnsi="宋体" w:cs="宋体"/>
                <w:color w:val="000000"/>
                <w:kern w:val="0"/>
                <w:szCs w:val="21"/>
                <w:lang w:val="en-US" w:eastAsia="zh-CN"/>
              </w:rPr>
              <w:t>30</w:t>
            </w:r>
            <w:r>
              <w:rPr>
                <w:rFonts w:hint="eastAsia" w:ascii="宋体" w:hAnsi="宋体" w:eastAsia="宋体" w:cs="宋体"/>
                <w:color w:val="000000"/>
                <w:kern w:val="0"/>
                <w:szCs w:val="21"/>
                <w:lang w:val="en-US" w:eastAsia="zh-CN"/>
              </w:rPr>
              <w:t>mm×</w:t>
            </w:r>
            <w:r>
              <w:rPr>
                <w:rFonts w:hint="eastAsia" w:ascii="宋体" w:hAnsi="宋体" w:cs="宋体"/>
                <w:color w:val="000000"/>
                <w:kern w:val="0"/>
                <w:szCs w:val="21"/>
                <w:lang w:val="en-US" w:eastAsia="zh-CN"/>
              </w:rPr>
              <w:t>9</w:t>
            </w:r>
            <w:r>
              <w:rPr>
                <w:rFonts w:hint="eastAsia" w:ascii="宋体" w:hAnsi="宋体" w:eastAsia="宋体" w:cs="宋体"/>
                <w:color w:val="000000"/>
                <w:kern w:val="0"/>
                <w:szCs w:val="21"/>
                <w:lang w:val="en-US" w:eastAsia="zh-CN"/>
              </w:rPr>
              <w:t>8mm×</w:t>
            </w:r>
            <w:r>
              <w:rPr>
                <w:rFonts w:hint="eastAsia" w:ascii="宋体" w:hAnsi="宋体" w:cs="宋体"/>
                <w:color w:val="000000"/>
                <w:kern w:val="0"/>
                <w:szCs w:val="21"/>
                <w:lang w:val="en-US" w:eastAsia="zh-CN"/>
              </w:rPr>
              <w:t>79</w:t>
            </w:r>
            <w:r>
              <w:rPr>
                <w:rFonts w:hint="eastAsia" w:ascii="宋体" w:hAnsi="宋体" w:eastAsia="宋体" w:cs="宋体"/>
                <w:color w:val="000000"/>
                <w:kern w:val="0"/>
                <w:szCs w:val="21"/>
                <w:lang w:val="en-US" w:eastAsia="zh-CN"/>
              </w:rPr>
              <w:t>mm</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重量</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g</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≤1</w:t>
            </w:r>
            <w:r>
              <w:rPr>
                <w:rFonts w:hint="eastAsia" w:ascii="宋体" w:hAnsi="宋体" w:cs="宋体"/>
                <w:color w:val="000000"/>
                <w:kern w:val="0"/>
                <w:szCs w:val="21"/>
                <w:lang w:val="en-US" w:eastAsia="zh-CN"/>
              </w:rPr>
              <w:t>9</w:t>
            </w:r>
            <w:r>
              <w:rPr>
                <w:rFonts w:hint="eastAsia" w:ascii="宋体" w:hAnsi="宋体" w:eastAsia="宋体" w:cs="宋体"/>
                <w:color w:val="000000"/>
                <w:kern w:val="0"/>
                <w:szCs w:val="21"/>
                <w:lang w:val="en-US" w:eastAsia="zh-CN"/>
              </w:rPr>
              <w:t>2g</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3</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外观材质</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lang w:eastAsia="zh-CN"/>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铝合金或ABS材质</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4</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外壳防护</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不低于IP34</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5</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使用环境温度</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-30℃～45℃</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6</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散热方式</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风扇</w:t>
            </w:r>
            <w:r>
              <w:rPr>
                <w:rFonts w:hint="eastAsia" w:ascii="宋体" w:hAnsi="宋体" w:eastAsia="宋体" w:cs="宋体"/>
                <w:color w:val="000000"/>
                <w:kern w:val="0"/>
                <w:szCs w:val="21"/>
                <w:lang w:val="en-US" w:eastAsia="zh-CN"/>
              </w:rPr>
              <w:t>散热</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7</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供电方式</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支持无人机供电</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8</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连接方式</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Type-C</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9</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外部接口</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具备SIM、Type-C接口</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10</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功耗</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W</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≤25W</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11</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远程升级</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支持远程升级</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12</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color w:val="000000"/>
                <w:kern w:val="0"/>
                <w:szCs w:val="21"/>
                <w:lang w:val="en-US" w:eastAsia="zh-CN"/>
              </w:rPr>
              <w:t>AI性能</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i w:val="0"/>
                <w:iCs w:val="0"/>
                <w:color w:val="000000"/>
                <w:sz w:val="21"/>
                <w:szCs w:val="21"/>
                <w:highlight w:val="none"/>
                <w:u w:val="none"/>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eastAsia="宋体" w:cs="宋体"/>
                <w:color w:val="000000"/>
                <w:kern w:val="0"/>
                <w:szCs w:val="21"/>
                <w:lang w:val="en-US" w:eastAsia="zh-CN"/>
              </w:rPr>
              <w:t>≥40TOPS</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13</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cs="宋体"/>
                <w:color w:val="000000"/>
                <w:kern w:val="0"/>
                <w:szCs w:val="21"/>
                <w:lang w:val="en-US" w:eastAsia="zh-CN"/>
              </w:rPr>
              <w:t>通信延时</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ms</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＜500ms</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14</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ascii="宋体" w:hAnsi="宋体" w:cs="宋体"/>
                <w:color w:val="000000"/>
                <w:kern w:val="0"/>
                <w:szCs w:val="21"/>
                <w:lang w:val="en-US" w:eastAsia="zh-CN"/>
              </w:rPr>
              <w:t>数据通信</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可正确</w:t>
            </w:r>
            <w:r>
              <w:rPr>
                <w:rFonts w:hint="eastAsia"/>
                <w:lang w:val="en-US" w:eastAsia="zh-CN"/>
              </w:rPr>
              <w:t>收发数据，包括巡检任务下发，图片视频上传等</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15</w:t>
            </w:r>
          </w:p>
        </w:tc>
        <w:tc>
          <w:tcPr>
            <w:tcW w:w="1686" w:type="dxa"/>
            <w:shd w:val="clear" w:color="auto" w:fill="auto"/>
            <w:vAlign w:val="center"/>
          </w:tcPr>
          <w:p>
            <w:pPr>
              <w:widowControl/>
              <w:jc w:val="left"/>
              <w:rPr>
                <w:rFonts w:hint="eastAsia"/>
                <w:highlight w:val="none"/>
                <w:lang w:val="en-US" w:eastAsia="zh-CN"/>
              </w:rPr>
            </w:pPr>
            <w:r>
              <w:rPr>
                <w:rFonts w:hint="eastAsia"/>
                <w:highlight w:val="none"/>
                <w:lang w:val="en-US" w:eastAsia="zh-CN"/>
              </w:rPr>
              <w:t>机型适配</w:t>
            </w:r>
          </w:p>
        </w:tc>
        <w:tc>
          <w:tcPr>
            <w:tcW w:w="1223" w:type="dxa"/>
            <w:shd w:val="clear" w:color="auto" w:fill="auto"/>
            <w:vAlign w:val="center"/>
          </w:tcPr>
          <w:p>
            <w:pPr>
              <w:widowControl/>
              <w:jc w:val="left"/>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w:t>
            </w:r>
          </w:p>
        </w:tc>
        <w:tc>
          <w:tcPr>
            <w:tcW w:w="1944" w:type="dxa"/>
            <w:shd w:val="clear" w:color="auto" w:fill="auto"/>
            <w:vAlign w:val="center"/>
          </w:tcPr>
          <w:p>
            <w:pPr>
              <w:widowControl/>
              <w:jc w:val="left"/>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可适配多旋翼红外可见光一体化无人机C</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16</w:t>
            </w:r>
          </w:p>
        </w:tc>
        <w:tc>
          <w:tcPr>
            <w:tcW w:w="1686" w:type="dxa"/>
            <w:shd w:val="clear" w:color="auto" w:fill="auto"/>
            <w:vAlign w:val="center"/>
          </w:tcPr>
          <w:p>
            <w:pPr>
              <w:widowControl/>
              <w:jc w:val="left"/>
              <w:rPr>
                <w:rFonts w:hint="default" w:ascii="宋体" w:hAnsi="宋体" w:eastAsia="宋体" w:cs="宋体"/>
                <w:i w:val="0"/>
                <w:iCs w:val="0"/>
                <w:color w:val="000000"/>
                <w:sz w:val="21"/>
                <w:szCs w:val="21"/>
                <w:highlight w:val="none"/>
                <w:u w:val="none"/>
                <w:lang w:val="en-US" w:eastAsia="zh-CN"/>
              </w:rPr>
            </w:pPr>
            <w:r>
              <w:rPr>
                <w:rFonts w:hint="eastAsia"/>
                <w:lang w:val="en-US" w:eastAsia="zh-CN"/>
              </w:rPr>
              <w:t>应用</w:t>
            </w:r>
            <w:r>
              <w:rPr>
                <w:rFonts w:hint="eastAsia"/>
              </w:rPr>
              <w:t>功能</w:t>
            </w:r>
          </w:p>
        </w:tc>
        <w:tc>
          <w:tcPr>
            <w:tcW w:w="1223"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eastAsia" w:ascii="宋体" w:hAnsi="宋体" w:eastAsia="宋体" w:cs="宋体"/>
                <w:i w:val="0"/>
                <w:iCs w:val="0"/>
                <w:color w:val="000000"/>
                <w:sz w:val="21"/>
                <w:szCs w:val="21"/>
                <w:highlight w:val="none"/>
                <w:u w:val="none"/>
              </w:rPr>
            </w:pPr>
            <w:r>
              <w:rPr>
                <w:rFonts w:hint="eastAsia" w:ascii="宋体" w:hAnsi="宋体" w:cs="宋体"/>
                <w:color w:val="000000"/>
                <w:kern w:val="0"/>
                <w:szCs w:val="21"/>
                <w:lang w:val="en-US" w:eastAsia="zh-CN"/>
              </w:rPr>
              <w:t>可自主电网设备巡检，包含</w:t>
            </w:r>
            <w:r>
              <w:rPr>
                <w:rFonts w:hint="eastAsia" w:hAnsi="Times New Roman" w:cs="Times New Roman"/>
                <w:lang w:val="en-US" w:eastAsia="zh-CN"/>
              </w:rPr>
              <w:t>智能居中抓拍、自动对变焦、自适应尺寸、智能感应曝光等</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17</w:t>
            </w:r>
          </w:p>
        </w:tc>
        <w:tc>
          <w:tcPr>
            <w:tcW w:w="1686" w:type="dxa"/>
            <w:shd w:val="clear" w:color="auto" w:fill="auto"/>
            <w:vAlign w:val="center"/>
          </w:tcPr>
          <w:p>
            <w:pPr>
              <w:widowControl/>
              <w:jc w:val="left"/>
              <w:rPr>
                <w:rFonts w:hint="default"/>
                <w:lang w:val="en-US" w:eastAsia="zh-CN"/>
              </w:rPr>
            </w:pPr>
            <w:r>
              <w:rPr>
                <w:rFonts w:hint="eastAsia" w:ascii="宋体" w:hAnsi="Courier New" w:eastAsia="宋体" w:cs="Times New Roman"/>
                <w:i w:val="0"/>
                <w:iCs w:val="0"/>
                <w:color w:val="auto"/>
                <w:kern w:val="2"/>
                <w:sz w:val="21"/>
                <w:szCs w:val="21"/>
                <w:highlight w:val="none"/>
                <w:u w:val="none"/>
                <w:lang w:val="en-US" w:eastAsia="zh-CN" w:bidi="ar-SA"/>
              </w:rPr>
              <w:t>拍摄点数量设定</w:t>
            </w:r>
          </w:p>
        </w:tc>
        <w:tc>
          <w:tcPr>
            <w:tcW w:w="1223"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可以设定单杆塔一个拍摄点、三个拍摄点巡检模式</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18</w:t>
            </w:r>
          </w:p>
        </w:tc>
        <w:tc>
          <w:tcPr>
            <w:tcW w:w="1686" w:type="dxa"/>
            <w:shd w:val="clear" w:color="auto" w:fill="auto"/>
            <w:vAlign w:val="center"/>
          </w:tcPr>
          <w:p>
            <w:pPr>
              <w:widowControl/>
              <w:jc w:val="left"/>
              <w:rPr>
                <w:rFonts w:hint="default" w:ascii="宋体" w:hAnsi="Courier New" w:eastAsia="宋体" w:cs="Times New Roman"/>
                <w:i w:val="0"/>
                <w:iCs w:val="0"/>
                <w:color w:val="auto"/>
                <w:kern w:val="2"/>
                <w:sz w:val="21"/>
                <w:szCs w:val="21"/>
                <w:highlight w:val="none"/>
                <w:u w:val="none"/>
                <w:lang w:val="en-US" w:eastAsia="zh-CN" w:bidi="ar-SA"/>
              </w:rPr>
            </w:pPr>
            <w:r>
              <w:rPr>
                <w:rFonts w:hint="eastAsia" w:ascii="宋体" w:hAnsi="Courier New" w:eastAsia="宋体" w:cs="Times New Roman"/>
                <w:i w:val="0"/>
                <w:iCs w:val="0"/>
                <w:color w:val="auto"/>
                <w:kern w:val="2"/>
                <w:sz w:val="21"/>
                <w:szCs w:val="21"/>
                <w:highlight w:val="none"/>
                <w:u w:val="none"/>
                <w:lang w:val="en-US" w:eastAsia="zh-CN" w:bidi="ar-SA"/>
              </w:rPr>
              <w:t>巡检状态监控</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支持对无人机飞行状态指示进行监控</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19</w:t>
            </w:r>
          </w:p>
        </w:tc>
        <w:tc>
          <w:tcPr>
            <w:tcW w:w="1686" w:type="dxa"/>
            <w:shd w:val="clear" w:color="auto" w:fill="auto"/>
            <w:vAlign w:val="center"/>
          </w:tcPr>
          <w:p>
            <w:pPr>
              <w:widowControl/>
              <w:jc w:val="left"/>
              <w:rPr>
                <w:rFonts w:hint="default" w:ascii="宋体" w:hAnsi="Courier New" w:eastAsia="宋体" w:cs="Times New Roman"/>
                <w:i w:val="0"/>
                <w:iCs w:val="0"/>
                <w:color w:val="auto"/>
                <w:kern w:val="2"/>
                <w:sz w:val="21"/>
                <w:szCs w:val="21"/>
                <w:highlight w:val="none"/>
                <w:u w:val="none"/>
                <w:lang w:val="en-US" w:eastAsia="zh-CN" w:bidi="ar-SA"/>
              </w:rPr>
            </w:pPr>
            <w:r>
              <w:rPr>
                <w:rFonts w:hint="eastAsia" w:ascii="宋体" w:hAnsi="Courier New" w:eastAsia="宋体" w:cs="Times New Roman"/>
                <w:i w:val="0"/>
                <w:iCs w:val="0"/>
                <w:color w:val="auto"/>
                <w:kern w:val="2"/>
                <w:sz w:val="21"/>
                <w:szCs w:val="21"/>
                <w:highlight w:val="none"/>
                <w:u w:val="none"/>
                <w:lang w:val="en-US" w:eastAsia="zh-CN" w:bidi="ar-SA"/>
              </w:rPr>
              <w:t>★航线规划</w:t>
            </w:r>
          </w:p>
        </w:tc>
        <w:tc>
          <w:tcPr>
            <w:tcW w:w="1223"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支持选择连续杆塔规划航线</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20</w:t>
            </w:r>
          </w:p>
        </w:tc>
        <w:tc>
          <w:tcPr>
            <w:tcW w:w="1686" w:type="dxa"/>
            <w:shd w:val="clear" w:color="auto" w:fill="auto"/>
            <w:vAlign w:val="center"/>
          </w:tcPr>
          <w:p>
            <w:pPr>
              <w:widowControl/>
              <w:jc w:val="left"/>
              <w:rPr>
                <w:rFonts w:hint="default" w:ascii="宋体" w:hAnsi="Courier New" w:eastAsia="宋体" w:cs="Times New Roman"/>
                <w:i w:val="0"/>
                <w:iCs w:val="0"/>
                <w:color w:val="auto"/>
                <w:kern w:val="2"/>
                <w:sz w:val="21"/>
                <w:szCs w:val="21"/>
                <w:highlight w:val="none"/>
                <w:u w:val="none"/>
                <w:lang w:val="en-US" w:eastAsia="zh-CN" w:bidi="ar-SA"/>
              </w:rPr>
            </w:pPr>
            <w:r>
              <w:rPr>
                <w:rFonts w:hint="eastAsia" w:ascii="宋体" w:hAnsi="Courier New" w:eastAsia="宋体" w:cs="Times New Roman"/>
                <w:i w:val="0"/>
                <w:iCs w:val="0"/>
                <w:color w:val="auto"/>
                <w:kern w:val="2"/>
                <w:sz w:val="21"/>
                <w:szCs w:val="21"/>
                <w:highlight w:val="none"/>
                <w:u w:val="none"/>
                <w:lang w:val="en-US" w:eastAsia="zh-CN" w:bidi="ar-SA"/>
              </w:rPr>
              <w:t>★杆塔信息录入</w:t>
            </w:r>
          </w:p>
        </w:tc>
        <w:tc>
          <w:tcPr>
            <w:tcW w:w="1223"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支持人工录入杆塔台账</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0" w:hRule="atLeast"/>
        </w:trPr>
        <w:tc>
          <w:tcPr>
            <w:tcW w:w="1094" w:type="dxa"/>
            <w:shd w:val="clear" w:color="auto" w:fill="auto"/>
            <w:vAlign w:val="center"/>
          </w:tcPr>
          <w:p>
            <w:pPr>
              <w:keepNext w:val="0"/>
              <w:keepLines w:val="0"/>
              <w:widowControl/>
              <w:suppressLineNumbers w:val="0"/>
              <w:jc w:val="center"/>
              <w:textAlignment w:val="center"/>
              <w:rPr>
                <w:rFonts w:hint="default" w:ascii="宋体" w:hAnsi="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21</w:t>
            </w:r>
          </w:p>
        </w:tc>
        <w:tc>
          <w:tcPr>
            <w:tcW w:w="1686" w:type="dxa"/>
            <w:shd w:val="clear" w:color="auto" w:fill="auto"/>
            <w:vAlign w:val="center"/>
          </w:tcPr>
          <w:p>
            <w:pPr>
              <w:widowControl/>
              <w:jc w:val="left"/>
              <w:rPr>
                <w:rFonts w:hint="default" w:ascii="宋体" w:hAnsi="Courier New" w:eastAsia="宋体" w:cs="Times New Roman"/>
                <w:i w:val="0"/>
                <w:iCs w:val="0"/>
                <w:color w:val="auto"/>
                <w:kern w:val="2"/>
                <w:sz w:val="21"/>
                <w:szCs w:val="21"/>
                <w:highlight w:val="none"/>
                <w:u w:val="none"/>
                <w:lang w:val="en-US" w:eastAsia="zh-CN" w:bidi="ar-SA"/>
              </w:rPr>
            </w:pPr>
            <w:r>
              <w:rPr>
                <w:rFonts w:hint="eastAsia" w:ascii="宋体" w:hAnsi="Courier New" w:eastAsia="宋体" w:cs="Times New Roman"/>
                <w:i w:val="0"/>
                <w:iCs w:val="0"/>
                <w:color w:val="auto"/>
                <w:kern w:val="2"/>
                <w:sz w:val="21"/>
                <w:szCs w:val="21"/>
                <w:highlight w:val="none"/>
                <w:u w:val="none"/>
                <w:lang w:val="en-US" w:eastAsia="zh-CN" w:bidi="ar-SA"/>
              </w:rPr>
              <w:t>★返航策略</w:t>
            </w:r>
          </w:p>
        </w:tc>
        <w:tc>
          <w:tcPr>
            <w:tcW w:w="1223" w:type="dxa"/>
            <w:shd w:val="clear" w:color="auto" w:fill="auto"/>
            <w:vAlign w:val="center"/>
          </w:tcPr>
          <w:p>
            <w:pPr>
              <w:widowControl/>
              <w:jc w:val="left"/>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w:t>
            </w:r>
          </w:p>
        </w:tc>
        <w:tc>
          <w:tcPr>
            <w:tcW w:w="1944" w:type="dxa"/>
            <w:shd w:val="clear" w:color="auto" w:fill="auto"/>
            <w:vAlign w:val="center"/>
          </w:tcPr>
          <w:p>
            <w:pPr>
              <w:widowControl/>
              <w:jc w:val="left"/>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支持2种返航策略</w:t>
            </w:r>
          </w:p>
        </w:tc>
        <w:tc>
          <w:tcPr>
            <w:tcW w:w="1594" w:type="dxa"/>
            <w:shd w:val="clear" w:color="auto" w:fill="auto"/>
            <w:vAlign w:val="center"/>
          </w:tcPr>
          <w:p>
            <w:pPr>
              <w:jc w:val="left"/>
              <w:rPr>
                <w:rFonts w:hint="eastAsia" w:ascii="宋体" w:hAnsi="宋体" w:eastAsia="宋体" w:cs="宋体"/>
                <w:i w:val="0"/>
                <w:iCs w:val="0"/>
                <w:color w:val="000000"/>
                <w:sz w:val="21"/>
                <w:szCs w:val="21"/>
                <w:highlight w:val="none"/>
                <w:u w:val="none"/>
              </w:rPr>
            </w:pPr>
          </w:p>
        </w:tc>
        <w:tc>
          <w:tcPr>
            <w:tcW w:w="1716"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cs="宋体"/>
                <w:i w:val="0"/>
                <w:iCs w:val="0"/>
                <w:color w:val="000000"/>
                <w:kern w:val="0"/>
                <w:sz w:val="21"/>
                <w:szCs w:val="21"/>
                <w:highlight w:val="none"/>
                <w:u w:val="none"/>
                <w:lang w:val="en-US" w:eastAsia="zh-CN" w:bidi="ar"/>
              </w:rPr>
              <w:t>试验报告、说明书、保证函等</w:t>
            </w:r>
          </w:p>
        </w:tc>
      </w:tr>
    </w:tbl>
    <w:p>
      <w:pPr>
        <w:jc w:val="both"/>
        <w:rPr>
          <w:rFonts w:hint="eastAsia"/>
          <w:szCs w:val="21"/>
        </w:rPr>
      </w:pPr>
    </w:p>
    <w:p>
      <w:pPr>
        <w:pStyle w:val="3"/>
        <w:rPr>
          <w:rFonts w:hint="eastAsia" w:ascii="宋体" w:hAnsi="宋体" w:eastAsia="宋体" w:cs="宋体"/>
          <w:sz w:val="21"/>
        </w:rPr>
      </w:pPr>
      <w:bookmarkStart w:id="26" w:name="_Toc12383"/>
      <w:bookmarkStart w:id="27" w:name="_Toc25770"/>
      <w:bookmarkStart w:id="28" w:name="_Toc12351"/>
      <w:r>
        <w:rPr>
          <w:rFonts w:hint="eastAsia" w:ascii="宋体" w:hAnsi="宋体" w:eastAsia="宋体" w:cs="宋体"/>
          <w:sz w:val="21"/>
        </w:rPr>
        <w:t>4包装和运输</w:t>
      </w:r>
      <w:bookmarkEnd w:id="15"/>
      <w:bookmarkEnd w:id="26"/>
      <w:bookmarkEnd w:id="27"/>
      <w:bookmarkEnd w:id="28"/>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3"/>
        <w:rPr>
          <w:rFonts w:hint="eastAsia" w:ascii="宋体" w:hAnsi="宋体" w:eastAsia="宋体" w:cs="宋体"/>
          <w:sz w:val="21"/>
        </w:rPr>
      </w:pPr>
      <w:bookmarkStart w:id="29" w:name="_Toc1959"/>
      <w:bookmarkStart w:id="30" w:name="_Toc3850"/>
      <w:bookmarkStart w:id="31" w:name="_Toc4818"/>
      <w:bookmarkStart w:id="32" w:name="_Toc12510"/>
      <w:r>
        <w:rPr>
          <w:rFonts w:hint="eastAsia" w:ascii="宋体" w:hAnsi="宋体" w:eastAsia="宋体" w:cs="宋体"/>
          <w:sz w:val="21"/>
        </w:rPr>
        <w:t>5技术服务</w:t>
      </w:r>
      <w:bookmarkEnd w:id="29"/>
      <w:bookmarkEnd w:id="30"/>
      <w:bookmarkEnd w:id="31"/>
      <w:bookmarkEnd w:id="32"/>
    </w:p>
    <w:p>
      <w:pPr>
        <w:spacing w:line="360" w:lineRule="auto"/>
        <w:outlineLvl w:val="1"/>
        <w:rPr>
          <w:rFonts w:hint="eastAsia" w:ascii="宋体" w:hAnsi="宋体" w:eastAsia="宋体" w:cs="宋体"/>
          <w:szCs w:val="24"/>
        </w:rPr>
      </w:pPr>
      <w:bookmarkStart w:id="33" w:name="_Toc22749"/>
      <w:bookmarkStart w:id="34" w:name="_Toc21140"/>
      <w:r>
        <w:rPr>
          <w:rFonts w:hint="eastAsia" w:ascii="宋体" w:hAnsi="宋体" w:eastAsia="宋体" w:cs="宋体"/>
          <w:sz w:val="24"/>
          <w:szCs w:val="24"/>
        </w:rPr>
        <w:t xml:space="preserve">5.1 </w:t>
      </w:r>
      <w:r>
        <w:rPr>
          <w:rFonts w:hint="eastAsia" w:ascii="宋体" w:hAnsi="宋体" w:eastAsia="宋体" w:cs="宋体"/>
          <w:szCs w:val="24"/>
        </w:rPr>
        <w:t>技术培训</w:t>
      </w:r>
      <w:bookmarkEnd w:id="33"/>
      <w:bookmarkEnd w:id="34"/>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cs="宋体"/>
          <w:szCs w:val="24"/>
          <w:lang w:val="en-US" w:eastAsia="zh-CN"/>
        </w:rPr>
        <w:t>2</w:t>
      </w:r>
      <w:r>
        <w:rPr>
          <w:rFonts w:hint="eastAsia" w:ascii="宋体" w:hAnsi="宋体" w:eastAsia="宋体" w:cs="宋体"/>
          <w:szCs w:val="24"/>
        </w:rPr>
        <w:t>人。</w:t>
      </w:r>
    </w:p>
    <w:p>
      <w:pPr>
        <w:spacing w:line="360" w:lineRule="auto"/>
        <w:outlineLvl w:val="1"/>
        <w:rPr>
          <w:rFonts w:hint="eastAsia" w:ascii="宋体" w:hAnsi="宋体" w:eastAsia="宋体" w:cs="宋体"/>
          <w:szCs w:val="24"/>
        </w:rPr>
      </w:pPr>
      <w:bookmarkStart w:id="35" w:name="_Toc19242"/>
      <w:bookmarkStart w:id="36" w:name="_Toc8545"/>
      <w:bookmarkStart w:id="37" w:name="_Toc60566153"/>
      <w:r>
        <w:rPr>
          <w:rFonts w:hint="eastAsia" w:ascii="宋体" w:hAnsi="宋体" w:eastAsia="宋体" w:cs="宋体"/>
          <w:szCs w:val="24"/>
        </w:rPr>
        <w:t>5.2 现场技术服务</w:t>
      </w:r>
      <w:bookmarkEnd w:id="35"/>
      <w:bookmarkEnd w:id="36"/>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outlineLvl w:val="1"/>
        <w:rPr>
          <w:rFonts w:hint="eastAsia" w:ascii="宋体" w:hAnsi="宋体" w:eastAsia="宋体" w:cs="宋体"/>
          <w:szCs w:val="24"/>
        </w:rPr>
      </w:pPr>
      <w:bookmarkStart w:id="38" w:name="_Toc13881"/>
      <w:bookmarkStart w:id="39" w:name="_Toc3089"/>
      <w:r>
        <w:rPr>
          <w:rFonts w:hint="eastAsia" w:ascii="宋体" w:hAnsi="宋体" w:eastAsia="宋体" w:cs="宋体"/>
          <w:szCs w:val="24"/>
        </w:rPr>
        <w:t>5.3远程技术支持</w:t>
      </w:r>
      <w:bookmarkEnd w:id="38"/>
      <w:bookmarkEnd w:id="39"/>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cs="宋体"/>
          <w:szCs w:val="24"/>
          <w:lang w:val="en-US" w:eastAsia="zh-CN"/>
        </w:rPr>
        <w:t>1</w:t>
      </w:r>
      <w:r>
        <w:rPr>
          <w:rFonts w:hint="eastAsia" w:ascii="宋体" w:hAnsi="宋体" w:eastAsia="宋体" w:cs="宋体"/>
          <w:szCs w:val="24"/>
        </w:rPr>
        <w:t>次</w:t>
      </w:r>
      <w:r>
        <w:rPr>
          <w:rFonts w:hint="eastAsia" w:ascii="宋体" w:hAnsi="宋体" w:cs="宋体"/>
          <w:szCs w:val="24"/>
          <w:lang w:val="en-US" w:eastAsia="zh-CN"/>
        </w:rPr>
        <w:t>设备</w:t>
      </w:r>
      <w:r>
        <w:rPr>
          <w:rFonts w:hint="eastAsia" w:ascii="宋体" w:hAnsi="宋体" w:eastAsia="宋体" w:cs="宋体"/>
          <w:szCs w:val="24"/>
        </w:rPr>
        <w:t>使用及日常维护培训课程。</w:t>
      </w:r>
    </w:p>
    <w:bookmarkEnd w:id="37"/>
    <w:p>
      <w:pPr>
        <w:pStyle w:val="3"/>
        <w:rPr>
          <w:rFonts w:hint="eastAsia" w:ascii="宋体" w:hAnsi="宋体" w:eastAsia="宋体" w:cs="宋体"/>
          <w:sz w:val="21"/>
        </w:rPr>
      </w:pPr>
      <w:bookmarkStart w:id="40" w:name="_Toc300066390"/>
      <w:bookmarkStart w:id="41" w:name="_Toc10527"/>
      <w:bookmarkStart w:id="42" w:name="_Toc21817"/>
      <w:bookmarkStart w:id="43" w:name="_Toc26294"/>
      <w:bookmarkStart w:id="44" w:name="_Toc293403381"/>
      <w:bookmarkStart w:id="45" w:name="_Toc23369"/>
      <w:r>
        <w:rPr>
          <w:rFonts w:hint="eastAsia" w:ascii="宋体" w:hAnsi="宋体" w:eastAsia="宋体" w:cs="宋体"/>
          <w:sz w:val="21"/>
        </w:rPr>
        <w:t>6质量保证和试验</w:t>
      </w:r>
      <w:bookmarkEnd w:id="40"/>
      <w:bookmarkEnd w:id="41"/>
      <w:bookmarkEnd w:id="42"/>
      <w:bookmarkEnd w:id="43"/>
      <w:bookmarkEnd w:id="44"/>
      <w:bookmarkEnd w:id="4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3"/>
        <w:rPr>
          <w:rFonts w:hint="eastAsia" w:ascii="宋体" w:hAnsi="宋体" w:eastAsia="宋体" w:cs="宋体"/>
          <w:sz w:val="21"/>
        </w:rPr>
      </w:pPr>
      <w:bookmarkStart w:id="46" w:name="_Toc23887"/>
      <w:bookmarkStart w:id="47" w:name="_Toc7236"/>
      <w:bookmarkStart w:id="48" w:name="_Toc19285"/>
      <w:bookmarkStart w:id="49" w:name="_Toc29637"/>
      <w:r>
        <w:rPr>
          <w:rFonts w:hint="eastAsia" w:ascii="宋体" w:hAnsi="宋体" w:eastAsia="宋体" w:cs="宋体"/>
          <w:sz w:val="21"/>
        </w:rPr>
        <w:t>7设备验收</w:t>
      </w:r>
      <w:bookmarkEnd w:id="46"/>
      <w:bookmarkEnd w:id="47"/>
      <w:bookmarkEnd w:id="48"/>
      <w:bookmarkEnd w:id="49"/>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Cs w:val="24"/>
        </w:rPr>
      </w:pPr>
    </w:p>
    <w:p>
      <w:pPr>
        <w:pStyle w:val="2"/>
        <w:ind w:firstLine="0"/>
        <w:rPr>
          <w:rFonts w:hint="eastAsia" w:ascii="宋体" w:hAnsi="宋体" w:eastAsia="宋体" w:cs="宋体"/>
          <w:b/>
          <w:bCs/>
          <w:szCs w:val="24"/>
          <w:lang w:val="en-US" w:eastAsia="zh-CN"/>
        </w:rPr>
      </w:pPr>
      <w:r>
        <w:rPr>
          <w:rFonts w:hint="eastAsia" w:ascii="宋体" w:hAnsi="宋体" w:cs="宋体"/>
          <w:b/>
          <w:bCs/>
          <w:szCs w:val="24"/>
          <w:lang w:val="en-US" w:eastAsia="zh-CN"/>
        </w:rPr>
        <w:t>附录</w:t>
      </w:r>
    </w:p>
    <w:p>
      <w:pPr>
        <w:pStyle w:val="3"/>
        <w:rPr>
          <w:rFonts w:hint="eastAsia" w:ascii="宋体" w:hAnsi="宋体" w:eastAsia="宋体" w:cs="宋体"/>
          <w:sz w:val="21"/>
        </w:rPr>
      </w:pPr>
      <w:bookmarkStart w:id="50" w:name="_Toc786"/>
      <w:bookmarkStart w:id="51" w:name="_Toc25869"/>
      <w:bookmarkStart w:id="52" w:name="_Toc24795"/>
      <w:bookmarkStart w:id="53" w:name="_Toc26538"/>
      <w:r>
        <w:rPr>
          <w:rFonts w:hint="eastAsia" w:ascii="宋体" w:hAnsi="宋体" w:eastAsia="宋体" w:cs="宋体"/>
          <w:sz w:val="21"/>
          <w:lang w:val="en-US" w:eastAsia="zh-CN"/>
        </w:rPr>
        <w:t xml:space="preserve">附录1 </w:t>
      </w:r>
      <w:r>
        <w:rPr>
          <w:rFonts w:hint="eastAsia" w:ascii="宋体" w:hAnsi="宋体" w:eastAsia="宋体" w:cs="宋体"/>
          <w:sz w:val="21"/>
        </w:rPr>
        <w:t>供货范围</w:t>
      </w:r>
      <w:bookmarkEnd w:id="50"/>
      <w:bookmarkEnd w:id="51"/>
      <w:bookmarkEnd w:id="52"/>
      <w:bookmarkEnd w:id="53"/>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szCs w:val="24"/>
        </w:rPr>
        <w:t>★</w:t>
      </w:r>
      <w:r>
        <w:rPr>
          <w:rFonts w:hint="eastAsia" w:ascii="宋体" w:hAnsi="宋体" w:eastAsia="宋体" w:cs="宋体"/>
          <w:b w:val="0"/>
          <w:bCs w:val="0"/>
          <w:szCs w:val="21"/>
        </w:rPr>
        <w:t>投标方提供的设备具体规格、数量见表</w:t>
      </w:r>
      <w:r>
        <w:rPr>
          <w:rFonts w:hint="eastAsia" w:ascii="宋体" w:hAnsi="宋体" w:eastAsia="宋体" w:cs="宋体"/>
          <w:b w:val="0"/>
          <w:bCs w:val="0"/>
          <w:szCs w:val="21"/>
          <w:lang w:val="en-US" w:eastAsia="zh-CN"/>
        </w:rPr>
        <w:t>8</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9"/>
        <w:adjustRightInd w:val="0"/>
        <w:snapToGrid w:val="0"/>
        <w:spacing w:line="360" w:lineRule="auto"/>
        <w:rPr>
          <w:rFonts w:hint="default" w:ascii="宋体" w:hAnsi="宋体" w:eastAsia="宋体"/>
          <w:b w:val="0"/>
          <w:bCs w:val="0"/>
          <w:szCs w:val="21"/>
          <w:lang w:val="en-US" w:eastAsia="zh-CN"/>
        </w:rPr>
      </w:pPr>
      <w:r>
        <w:rPr>
          <w:rFonts w:hint="eastAsia" w:ascii="宋体" w:hAnsi="宋体" w:eastAsia="宋体" w:cs="宋体"/>
          <w:szCs w:val="24"/>
        </w:rPr>
        <w:t>★</w:t>
      </w:r>
      <w:r>
        <w:rPr>
          <w:rFonts w:hint="eastAsia" w:ascii="宋体" w:hAnsi="宋体" w:eastAsia="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9"/>
        <w:adjustRightInd w:val="0"/>
        <w:snapToGrid w:val="0"/>
        <w:spacing w:line="360" w:lineRule="auto"/>
        <w:rPr>
          <w:rFonts w:hint="eastAsia" w:ascii="宋体" w:hAnsi="宋体" w:eastAsia="宋体"/>
          <w:b w:val="0"/>
          <w:bCs w:val="0"/>
          <w:szCs w:val="21"/>
          <w:lang w:val="en-US" w:eastAsia="zh-CN"/>
        </w:rPr>
      </w:pPr>
      <w:r>
        <w:rPr>
          <w:rFonts w:hint="eastAsia" w:ascii="宋体" w:hAnsi="宋体" w:eastAsia="宋体" w:cs="宋体"/>
          <w:szCs w:val="24"/>
        </w:rPr>
        <w:t>★</w:t>
      </w:r>
      <w:r>
        <w:rPr>
          <w:rFonts w:hint="eastAsia" w:ascii="宋体" w:hAnsi="宋体" w:eastAsia="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szCs w:val="24"/>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szCs w:val="24"/>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9"/>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66" w:name="_GoBack"/>
      <w:bookmarkEnd w:id="66"/>
    </w:p>
    <w:p>
      <w:pPr>
        <w:pStyle w:val="37"/>
        <w:outlineLvl w:val="9"/>
        <w:rPr>
          <w:rFonts w:hint="eastAsia" w:ascii="宋体" w:hAnsi="宋体" w:eastAsia="宋体" w:cs="宋体"/>
        </w:rPr>
      </w:pPr>
      <w:r>
        <w:rPr>
          <w:rFonts w:hint="eastAsia" w:hAnsi="宋体" w:cs="宋体"/>
          <w:lang w:val="en-US" w:eastAsia="zh-CN"/>
        </w:rPr>
        <w:t xml:space="preserve">附表1 </w:t>
      </w:r>
      <w:r>
        <w:rPr>
          <w:rFonts w:hint="eastAsia" w:ascii="宋体" w:hAnsi="宋体"/>
          <w:szCs w:val="21"/>
        </w:rPr>
        <w:t>供货范围及设备技术规格一览表</w:t>
      </w:r>
      <w:r>
        <w:rPr>
          <w:rFonts w:hint="eastAsia" w:ascii="宋体" w:hAnsi="宋体" w:eastAsia="宋体" w:cs="宋体"/>
        </w:rPr>
        <w:t>（投标方需填写）</w:t>
      </w:r>
    </w:p>
    <w:tbl>
      <w:tblPr>
        <w:tblStyle w:val="20"/>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54" w:name="RANGE!D4"/>
            <w:r>
              <w:rPr>
                <w:rFonts w:hint="eastAsia" w:ascii="宋体" w:hAnsi="宋体" w:eastAsia="宋体" w:cs="宋体"/>
                <w:kern w:val="0"/>
                <w:sz w:val="18"/>
                <w:szCs w:val="18"/>
              </w:rPr>
              <w:t>设备名称</w:t>
            </w:r>
            <w:bookmarkEnd w:id="54"/>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1</w:t>
            </w:r>
          </w:p>
        </w:tc>
        <w:tc>
          <w:tcPr>
            <w:tcW w:w="206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lang w:eastAsia="zh-CN"/>
              </w:rPr>
              <w:t>智能</w:t>
            </w:r>
            <w:r>
              <w:rPr>
                <w:rFonts w:hint="eastAsia" w:ascii="宋体" w:hAnsi="宋体" w:eastAsia="宋体" w:cs="宋体"/>
                <w:sz w:val="18"/>
                <w:szCs w:val="18"/>
                <w:lang w:val="en-US" w:eastAsia="zh-CN"/>
              </w:rPr>
              <w:t>终端</w:t>
            </w:r>
            <w:r>
              <w:rPr>
                <w:rFonts w:hint="eastAsia" w:ascii="宋体" w:hAnsi="宋体" w:eastAsia="宋体" w:cs="宋体"/>
                <w:sz w:val="18"/>
                <w:szCs w:val="18"/>
                <w:lang w:eastAsia="zh-CN"/>
              </w:rPr>
              <w:t>运维一体机（</w:t>
            </w:r>
            <w:r>
              <w:rPr>
                <w:rFonts w:hint="eastAsia" w:ascii="宋体" w:hAnsi="宋体" w:eastAsia="宋体" w:cs="宋体"/>
                <w:sz w:val="18"/>
                <w:szCs w:val="18"/>
                <w:lang w:val="en-US" w:eastAsia="zh-CN"/>
              </w:rPr>
              <w:t>旗舰款</w:t>
            </w:r>
            <w:r>
              <w:rPr>
                <w:rFonts w:hint="eastAsia" w:ascii="宋体" w:hAnsi="宋体" w:eastAsia="宋体" w:cs="宋体"/>
                <w:sz w:val="18"/>
                <w:szCs w:val="18"/>
                <w:lang w:eastAsia="zh-CN"/>
              </w:rPr>
              <w:t>）</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4</w:t>
            </w:r>
          </w:p>
        </w:tc>
        <w:tc>
          <w:tcPr>
            <w:tcW w:w="206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智能</w:t>
            </w:r>
            <w:r>
              <w:rPr>
                <w:rFonts w:hint="eastAsia" w:ascii="宋体" w:hAnsi="宋体" w:eastAsia="宋体" w:cs="宋体"/>
                <w:sz w:val="18"/>
                <w:szCs w:val="18"/>
                <w:lang w:val="en-US" w:eastAsia="zh-CN"/>
              </w:rPr>
              <w:t>终端</w:t>
            </w:r>
            <w:r>
              <w:rPr>
                <w:rFonts w:hint="eastAsia" w:ascii="宋体" w:hAnsi="宋体" w:eastAsia="宋体" w:cs="宋体"/>
                <w:sz w:val="18"/>
                <w:szCs w:val="18"/>
              </w:rPr>
              <w:t>运维一体机（普通款A）</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5</w:t>
            </w:r>
          </w:p>
        </w:tc>
        <w:tc>
          <w:tcPr>
            <w:tcW w:w="206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智能</w:t>
            </w:r>
            <w:r>
              <w:rPr>
                <w:rFonts w:hint="eastAsia" w:ascii="宋体" w:hAnsi="宋体" w:eastAsia="宋体" w:cs="宋体"/>
                <w:sz w:val="18"/>
                <w:szCs w:val="18"/>
                <w:lang w:val="en-US" w:eastAsia="zh-CN"/>
              </w:rPr>
              <w:t>终端</w:t>
            </w:r>
            <w:r>
              <w:rPr>
                <w:rFonts w:hint="eastAsia" w:ascii="宋体" w:hAnsi="宋体" w:eastAsia="宋体" w:cs="宋体"/>
                <w:sz w:val="18"/>
                <w:szCs w:val="18"/>
              </w:rPr>
              <w:t>运维一体机（普通款</w:t>
            </w:r>
            <w:r>
              <w:rPr>
                <w:rFonts w:hint="eastAsia" w:ascii="宋体" w:hAnsi="宋体" w:eastAsia="宋体" w:cs="宋体"/>
                <w:sz w:val="18"/>
                <w:szCs w:val="18"/>
                <w:lang w:val="en-US" w:eastAsia="zh-CN"/>
              </w:rPr>
              <w:t>B</w:t>
            </w:r>
            <w:r>
              <w:rPr>
                <w:rFonts w:hint="eastAsia" w:ascii="宋体" w:hAnsi="宋体" w:eastAsia="宋体" w:cs="宋体"/>
                <w:sz w:val="18"/>
                <w:szCs w:val="18"/>
              </w:rPr>
              <w:t>）</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6</w:t>
            </w:r>
          </w:p>
        </w:tc>
        <w:tc>
          <w:tcPr>
            <w:tcW w:w="206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智能</w:t>
            </w:r>
            <w:r>
              <w:rPr>
                <w:rFonts w:hint="eastAsia" w:ascii="宋体" w:hAnsi="宋体" w:eastAsia="宋体" w:cs="宋体"/>
                <w:sz w:val="18"/>
                <w:szCs w:val="18"/>
                <w:lang w:val="en-US" w:eastAsia="zh-CN"/>
              </w:rPr>
              <w:t>终端</w:t>
            </w:r>
            <w:r>
              <w:rPr>
                <w:rFonts w:hint="eastAsia" w:ascii="宋体" w:hAnsi="宋体" w:eastAsia="宋体" w:cs="宋体"/>
                <w:sz w:val="18"/>
                <w:szCs w:val="18"/>
              </w:rPr>
              <w:t>运维一体机</w:t>
            </w:r>
            <w:r>
              <w:rPr>
                <w:rFonts w:hint="eastAsia" w:ascii="宋体" w:hAnsi="宋体" w:eastAsia="宋体" w:cs="宋体"/>
                <w:sz w:val="18"/>
                <w:szCs w:val="18"/>
                <w:lang w:val="en-US" w:eastAsia="zh-CN"/>
              </w:rPr>
              <w:t>（便携款）</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7</w:t>
            </w:r>
          </w:p>
        </w:tc>
        <w:tc>
          <w:tcPr>
            <w:tcW w:w="2062" w:type="dxa"/>
            <w:shd w:val="clear" w:color="auto" w:fill="auto"/>
            <w:vAlign w:val="center"/>
          </w:tcPr>
          <w:p>
            <w:pPr>
              <w:adjustRightInd w:val="0"/>
              <w:snapToGrid w:val="0"/>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智能机载巡检模块</w:t>
            </w:r>
          </w:p>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rPr>
              <w:t>（RTK版）</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8</w:t>
            </w:r>
          </w:p>
        </w:tc>
        <w:tc>
          <w:tcPr>
            <w:tcW w:w="2062" w:type="dxa"/>
            <w:shd w:val="clear" w:color="auto" w:fill="auto"/>
            <w:vAlign w:val="center"/>
          </w:tcPr>
          <w:p>
            <w:pPr>
              <w:adjustRightInd w:val="0"/>
              <w:snapToGrid w:val="0"/>
              <w:jc w:val="left"/>
              <w:rPr>
                <w:rFonts w:hint="eastAsia" w:ascii="宋体" w:hAnsi="宋体" w:eastAsia="宋体" w:cs="宋体"/>
                <w:sz w:val="18"/>
                <w:szCs w:val="18"/>
              </w:rPr>
            </w:pPr>
            <w:r>
              <w:rPr>
                <w:rFonts w:hint="eastAsia" w:ascii="宋体" w:hAnsi="宋体" w:eastAsia="宋体" w:cs="宋体"/>
                <w:sz w:val="18"/>
                <w:szCs w:val="18"/>
                <w:lang w:val="en-US" w:eastAsia="zh-CN"/>
              </w:rPr>
              <w:t>智能机载巡检模块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3"/>
        <w:rPr>
          <w:rFonts w:hint="eastAsia" w:ascii="宋体" w:hAnsi="宋体" w:eastAsia="宋体" w:cs="宋体"/>
          <w:sz w:val="21"/>
        </w:rPr>
      </w:pPr>
      <w:bookmarkStart w:id="55" w:name="_Toc20752"/>
      <w:bookmarkStart w:id="56" w:name="_Toc32685"/>
    </w:p>
    <w:p>
      <w:pPr>
        <w:pStyle w:val="3"/>
        <w:rPr>
          <w:rFonts w:hint="eastAsia" w:ascii="宋体" w:hAnsi="宋体" w:eastAsia="宋体" w:cs="宋体"/>
          <w:sz w:val="21"/>
        </w:rPr>
      </w:pPr>
      <w:bookmarkStart w:id="57" w:name="_Toc28334"/>
      <w:bookmarkStart w:id="58" w:name="_Toc24744"/>
      <w:r>
        <w:rPr>
          <w:rFonts w:hint="eastAsia" w:ascii="宋体" w:hAnsi="宋体" w:eastAsia="宋体" w:cs="宋体"/>
          <w:sz w:val="21"/>
          <w:lang w:val="en-US" w:eastAsia="zh-CN"/>
        </w:rPr>
        <w:t xml:space="preserve">附录2 </w:t>
      </w:r>
      <w:r>
        <w:rPr>
          <w:rFonts w:hint="eastAsia" w:ascii="宋体" w:hAnsi="宋体" w:eastAsia="宋体" w:cs="宋体"/>
          <w:sz w:val="21"/>
        </w:rPr>
        <w:t>技术差异汇总</w:t>
      </w:r>
      <w:bookmarkEnd w:id="55"/>
      <w:bookmarkEnd w:id="56"/>
      <w:bookmarkEnd w:id="57"/>
      <w:bookmarkEnd w:id="58"/>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7"/>
        <w:outlineLvl w:val="9"/>
        <w:rPr>
          <w:rFonts w:hint="eastAsia" w:ascii="宋体" w:hAnsi="宋体" w:eastAsia="宋体" w:cs="宋体"/>
        </w:rPr>
      </w:pPr>
      <w:r>
        <w:rPr>
          <w:rFonts w:hint="eastAsia" w:hAnsi="宋体" w:cs="宋体"/>
          <w:lang w:val="en-US" w:eastAsia="zh-CN"/>
        </w:rPr>
        <w:t>附表2</w:t>
      </w:r>
      <w:r>
        <w:rPr>
          <w:rFonts w:hint="eastAsia" w:ascii="宋体" w:hAnsi="宋体" w:eastAsia="宋体" w:cs="宋体"/>
        </w:rPr>
        <w:t xml:space="preserve">  技术差异表（投标方需填写）</w:t>
      </w:r>
    </w:p>
    <w:tbl>
      <w:tblPr>
        <w:tblStyle w:val="20"/>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szCs w:val="21"/>
        </w:rPr>
      </w:pPr>
      <w:r>
        <w:rPr>
          <w:szCs w:val="21"/>
        </w:rPr>
        <w:t>投标商名称：               （盖章）</w:t>
      </w:r>
    </w:p>
    <w:p>
      <w:pPr>
        <w:spacing w:line="360" w:lineRule="auto"/>
        <w:ind w:firstLine="645"/>
        <w:jc w:val="right"/>
        <w:rPr>
          <w:szCs w:val="21"/>
        </w:rPr>
      </w:pPr>
      <w:r>
        <w:rPr>
          <w:szCs w:val="21"/>
        </w:rPr>
        <w:t>授权投标人：               （签字）</w:t>
      </w:r>
    </w:p>
    <w:p>
      <w:pPr>
        <w:pStyle w:val="12"/>
        <w:adjustRightInd w:val="0"/>
        <w:snapToGrid w:val="0"/>
        <w:spacing w:beforeLines="50" w:line="360" w:lineRule="auto"/>
        <w:jc w:val="right"/>
        <w:rPr>
          <w:rFonts w:hAnsi="宋体"/>
          <w:szCs w:val="21"/>
        </w:rPr>
      </w:pPr>
      <w:r>
        <w:rPr>
          <w:szCs w:val="21"/>
        </w:rPr>
        <w:t>日      期：         年    月    日</w:t>
      </w:r>
    </w:p>
    <w:p>
      <w:pPr>
        <w:pStyle w:val="3"/>
        <w:rPr>
          <w:rFonts w:hint="eastAsia" w:ascii="宋体" w:hAnsi="宋体" w:eastAsia="宋体" w:cs="宋体"/>
          <w:sz w:val="21"/>
        </w:rPr>
      </w:pPr>
      <w:bookmarkStart w:id="59" w:name="_Toc15957"/>
      <w:bookmarkStart w:id="60" w:name="_Toc24715"/>
      <w:bookmarkStart w:id="61" w:name="_Toc7394"/>
      <w:bookmarkStart w:id="62" w:name="_Toc8520"/>
      <w:r>
        <w:rPr>
          <w:rFonts w:hint="eastAsia" w:ascii="宋体" w:hAnsi="宋体" w:eastAsia="宋体" w:cs="宋体"/>
          <w:sz w:val="21"/>
          <w:lang w:val="en-US" w:eastAsia="zh-CN"/>
        </w:rPr>
        <w:t xml:space="preserve">附录3  </w:t>
      </w:r>
      <w:r>
        <w:rPr>
          <w:rFonts w:hint="eastAsia" w:ascii="宋体" w:hAnsi="宋体" w:eastAsia="宋体" w:cs="宋体"/>
          <w:sz w:val="21"/>
        </w:rPr>
        <w:t>主要元器件来源</w:t>
      </w:r>
      <w:bookmarkEnd w:id="59"/>
      <w:bookmarkEnd w:id="60"/>
      <w:bookmarkEnd w:id="61"/>
      <w:bookmarkEnd w:id="62"/>
    </w:p>
    <w:p>
      <w:pPr>
        <w:pStyle w:val="37"/>
        <w:outlineLvl w:val="9"/>
        <w:rPr>
          <w:rFonts w:hint="eastAsia" w:ascii="宋体" w:hAnsi="宋体" w:eastAsia="宋体" w:cs="宋体"/>
        </w:rPr>
      </w:pPr>
      <w:r>
        <w:rPr>
          <w:rFonts w:hint="eastAsia" w:hAnsi="宋体" w:cs="宋体"/>
          <w:lang w:val="en-US" w:eastAsia="zh-CN"/>
        </w:rPr>
        <w:t>附表3</w:t>
      </w:r>
      <w:r>
        <w:rPr>
          <w:rFonts w:hint="eastAsia" w:ascii="宋体" w:hAnsi="宋体" w:eastAsia="宋体" w:cs="宋体"/>
        </w:rPr>
        <w:t xml:space="preserve">  主要元器件来源一览表（投标方填写）</w:t>
      </w:r>
    </w:p>
    <w:tbl>
      <w:tblPr>
        <w:tblStyle w:val="2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284"/>
        <w:gridCol w:w="984"/>
        <w:gridCol w:w="1258"/>
        <w:gridCol w:w="1167"/>
        <w:gridCol w:w="1300"/>
        <w:gridCol w:w="1000"/>
        <w:gridCol w:w="10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cs="宋体"/>
                <w:b/>
                <w:bCs/>
                <w:szCs w:val="21"/>
              </w:rPr>
            </w:pPr>
            <w:r>
              <w:rPr>
                <w:rFonts w:hint="eastAsia" w:cs="宋体"/>
                <w:b/>
                <w:bCs/>
                <w:szCs w:val="21"/>
              </w:rPr>
              <w:t>序</w:t>
            </w:r>
          </w:p>
          <w:p>
            <w:pPr>
              <w:topLinePunct/>
              <w:spacing w:before="60" w:after="60"/>
              <w:jc w:val="center"/>
              <w:rPr>
                <w:rFonts w:cs="宋体"/>
                <w:b/>
                <w:bCs/>
                <w:szCs w:val="21"/>
              </w:rPr>
            </w:pPr>
            <w:r>
              <w:rPr>
                <w:rFonts w:hint="eastAsia" w:cs="宋体"/>
                <w:b/>
                <w:bCs/>
                <w:szCs w:val="21"/>
              </w:rPr>
              <w:t>号</w:t>
            </w:r>
          </w:p>
        </w:tc>
        <w:tc>
          <w:tcPr>
            <w:tcW w:w="1284" w:type="dxa"/>
            <w:vAlign w:val="center"/>
          </w:tcPr>
          <w:p>
            <w:pPr>
              <w:widowControl/>
              <w:topLinePunct/>
              <w:spacing w:before="60" w:after="60"/>
              <w:jc w:val="center"/>
              <w:rPr>
                <w:rFonts w:cs="宋体"/>
                <w:b/>
                <w:bCs/>
                <w:szCs w:val="21"/>
              </w:rPr>
            </w:pPr>
            <w:r>
              <w:rPr>
                <w:rFonts w:hint="eastAsia" w:cs="宋体"/>
                <w:b/>
                <w:bCs/>
                <w:szCs w:val="21"/>
              </w:rPr>
              <w:t>名称</w:t>
            </w:r>
          </w:p>
        </w:tc>
        <w:tc>
          <w:tcPr>
            <w:tcW w:w="984" w:type="dxa"/>
            <w:vAlign w:val="center"/>
          </w:tcPr>
          <w:p>
            <w:pPr>
              <w:widowControl/>
              <w:topLinePunct/>
              <w:spacing w:before="60" w:after="60"/>
              <w:jc w:val="center"/>
              <w:rPr>
                <w:rFonts w:cs="宋体"/>
                <w:b/>
                <w:bCs/>
                <w:szCs w:val="21"/>
              </w:rPr>
            </w:pPr>
            <w:r>
              <w:rPr>
                <w:rFonts w:hint="eastAsia" w:cs="宋体"/>
                <w:b/>
                <w:bCs/>
                <w:szCs w:val="21"/>
              </w:rPr>
              <w:t>单位</w:t>
            </w:r>
          </w:p>
        </w:tc>
        <w:tc>
          <w:tcPr>
            <w:tcW w:w="1258" w:type="dxa"/>
            <w:vAlign w:val="center"/>
          </w:tcPr>
          <w:p>
            <w:pPr>
              <w:widowControl/>
              <w:topLinePunct/>
              <w:spacing w:before="60" w:after="60"/>
              <w:jc w:val="center"/>
              <w:rPr>
                <w:b/>
                <w:bCs/>
                <w:szCs w:val="21"/>
              </w:rPr>
            </w:pPr>
            <w:r>
              <w:rPr>
                <w:rFonts w:hint="eastAsia"/>
                <w:b/>
                <w:bCs/>
                <w:szCs w:val="21"/>
              </w:rPr>
              <w:t>项目单位要求</w:t>
            </w:r>
            <w:r>
              <w:rPr>
                <w:rFonts w:hint="eastAsia" w:cs="宋体"/>
                <w:b/>
                <w:bCs/>
                <w:szCs w:val="21"/>
              </w:rPr>
              <w:t>型式、规格</w:t>
            </w:r>
          </w:p>
        </w:tc>
        <w:tc>
          <w:tcPr>
            <w:tcW w:w="1167" w:type="dxa"/>
            <w:vAlign w:val="center"/>
          </w:tcPr>
          <w:p>
            <w:pPr>
              <w:widowControl/>
              <w:topLinePunct/>
              <w:spacing w:before="60" w:after="60"/>
              <w:jc w:val="center"/>
              <w:rPr>
                <w:b/>
                <w:bCs/>
                <w:szCs w:val="21"/>
              </w:rPr>
            </w:pPr>
            <w:r>
              <w:rPr>
                <w:rFonts w:hint="eastAsia"/>
                <w:b/>
                <w:bCs/>
                <w:szCs w:val="21"/>
              </w:rPr>
              <w:t>项目单位要求</w:t>
            </w:r>
            <w:r>
              <w:rPr>
                <w:rFonts w:hint="eastAsia" w:cs="宋体"/>
                <w:b/>
                <w:bCs/>
                <w:szCs w:val="21"/>
              </w:rPr>
              <w:t>数量</w:t>
            </w:r>
          </w:p>
        </w:tc>
        <w:tc>
          <w:tcPr>
            <w:tcW w:w="1300" w:type="dxa"/>
            <w:tcBorders>
              <w:right w:val="single" w:color="auto" w:sz="4" w:space="0"/>
            </w:tcBorders>
          </w:tcPr>
          <w:p>
            <w:pPr>
              <w:topLinePunct/>
              <w:spacing w:before="60" w:after="60"/>
              <w:jc w:val="center"/>
              <w:rPr>
                <w:b/>
                <w:bCs/>
                <w:szCs w:val="21"/>
              </w:rPr>
            </w:pPr>
            <w:r>
              <w:rPr>
                <w:rFonts w:hint="eastAsia"/>
                <w:b/>
                <w:bCs/>
                <w:szCs w:val="21"/>
              </w:rPr>
              <w:t>投标方响应</w:t>
            </w:r>
            <w:r>
              <w:rPr>
                <w:rFonts w:hint="eastAsia" w:cs="宋体"/>
                <w:b/>
                <w:bCs/>
                <w:szCs w:val="21"/>
              </w:rPr>
              <w:t>型式、规格</w:t>
            </w:r>
          </w:p>
        </w:tc>
        <w:tc>
          <w:tcPr>
            <w:tcW w:w="1000" w:type="dxa"/>
            <w:tcBorders>
              <w:right w:val="single" w:color="auto" w:sz="4" w:space="0"/>
            </w:tcBorders>
          </w:tcPr>
          <w:p>
            <w:pPr>
              <w:topLinePunct/>
              <w:spacing w:before="60" w:after="60"/>
              <w:jc w:val="center"/>
              <w:rPr>
                <w:b/>
                <w:bCs/>
                <w:szCs w:val="21"/>
              </w:rPr>
            </w:pPr>
            <w:r>
              <w:rPr>
                <w:rFonts w:hint="eastAsia"/>
                <w:b/>
                <w:bCs/>
                <w:szCs w:val="21"/>
              </w:rPr>
              <w:t>投标方响应</w:t>
            </w:r>
            <w:r>
              <w:rPr>
                <w:rFonts w:hint="eastAsia" w:cs="宋体"/>
                <w:b/>
                <w:bCs/>
                <w:szCs w:val="21"/>
              </w:rPr>
              <w:t>生产厂家</w:t>
            </w:r>
          </w:p>
        </w:tc>
        <w:tc>
          <w:tcPr>
            <w:tcW w:w="1000" w:type="dxa"/>
            <w:tcBorders>
              <w:right w:val="single" w:color="auto" w:sz="4" w:space="0"/>
            </w:tcBorders>
          </w:tcPr>
          <w:p>
            <w:pPr>
              <w:topLinePunct/>
              <w:spacing w:before="60" w:after="60"/>
              <w:jc w:val="center"/>
              <w:rPr>
                <w:b/>
                <w:bCs/>
                <w:szCs w:val="21"/>
              </w:rPr>
            </w:pPr>
            <w:r>
              <w:rPr>
                <w:rFonts w:hint="eastAsia"/>
                <w:b/>
                <w:bCs/>
                <w:szCs w:val="21"/>
              </w:rPr>
              <w:t>投标方响应</w:t>
            </w:r>
            <w:r>
              <w:rPr>
                <w:rFonts w:hint="eastAsia" w:cs="宋体"/>
                <w:b/>
                <w:bCs/>
                <w:szCs w:val="21"/>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szCs w:val="21"/>
              </w:rPr>
            </w:pPr>
            <w:r>
              <w:rPr>
                <w:rFonts w:hint="eastAsia"/>
                <w:szCs w:val="21"/>
              </w:rPr>
              <w:t>1</w:t>
            </w:r>
          </w:p>
        </w:tc>
        <w:tc>
          <w:tcPr>
            <w:tcW w:w="1284" w:type="dxa"/>
            <w:vAlign w:val="center"/>
          </w:tcPr>
          <w:p>
            <w:pPr>
              <w:topLinePunct/>
              <w:spacing w:before="60" w:after="60"/>
              <w:rPr>
                <w:szCs w:val="21"/>
              </w:rPr>
            </w:pPr>
          </w:p>
        </w:tc>
        <w:tc>
          <w:tcPr>
            <w:tcW w:w="984" w:type="dxa"/>
            <w:vAlign w:val="center"/>
          </w:tcPr>
          <w:p>
            <w:pPr>
              <w:topLinePunct/>
              <w:spacing w:before="60" w:after="60"/>
              <w:jc w:val="center"/>
              <w:rPr>
                <w:szCs w:val="21"/>
              </w:rPr>
            </w:pPr>
          </w:p>
        </w:tc>
        <w:tc>
          <w:tcPr>
            <w:tcW w:w="1258" w:type="dxa"/>
            <w:vAlign w:val="center"/>
          </w:tcPr>
          <w:p>
            <w:pPr>
              <w:topLinePunct/>
              <w:spacing w:before="60" w:after="60"/>
              <w:rPr>
                <w:szCs w:val="21"/>
              </w:rPr>
            </w:pPr>
          </w:p>
        </w:tc>
        <w:tc>
          <w:tcPr>
            <w:tcW w:w="1167" w:type="dxa"/>
            <w:vAlign w:val="center"/>
          </w:tcPr>
          <w:p>
            <w:pPr>
              <w:topLinePunct/>
              <w:spacing w:before="60" w:after="60"/>
              <w:rPr>
                <w:szCs w:val="21"/>
              </w:rPr>
            </w:pPr>
          </w:p>
        </w:tc>
        <w:tc>
          <w:tcPr>
            <w:tcW w:w="1300" w:type="dxa"/>
            <w:vAlign w:val="center"/>
          </w:tcPr>
          <w:p>
            <w:pPr>
              <w:topLinePunct/>
              <w:spacing w:before="60" w:after="60"/>
              <w:rPr>
                <w:szCs w:val="21"/>
              </w:rPr>
            </w:pPr>
          </w:p>
        </w:tc>
        <w:tc>
          <w:tcPr>
            <w:tcW w:w="1000" w:type="dxa"/>
          </w:tcPr>
          <w:p>
            <w:pPr>
              <w:topLinePunct/>
              <w:spacing w:before="60" w:after="60"/>
              <w:rPr>
                <w:szCs w:val="21"/>
              </w:rPr>
            </w:pPr>
          </w:p>
        </w:tc>
        <w:tc>
          <w:tcPr>
            <w:tcW w:w="1000"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szCs w:val="21"/>
              </w:rPr>
            </w:pPr>
            <w:r>
              <w:rPr>
                <w:rFonts w:hint="eastAsia"/>
                <w:szCs w:val="21"/>
              </w:rPr>
              <w:t>2</w:t>
            </w:r>
          </w:p>
        </w:tc>
        <w:tc>
          <w:tcPr>
            <w:tcW w:w="1284" w:type="dxa"/>
            <w:vAlign w:val="center"/>
          </w:tcPr>
          <w:p>
            <w:pPr>
              <w:topLinePunct/>
              <w:spacing w:before="60" w:after="60"/>
              <w:rPr>
                <w:szCs w:val="21"/>
              </w:rPr>
            </w:pPr>
          </w:p>
        </w:tc>
        <w:tc>
          <w:tcPr>
            <w:tcW w:w="984" w:type="dxa"/>
            <w:vAlign w:val="center"/>
          </w:tcPr>
          <w:p>
            <w:pPr>
              <w:topLinePunct/>
              <w:spacing w:before="60" w:after="60"/>
              <w:jc w:val="center"/>
              <w:rPr>
                <w:szCs w:val="21"/>
              </w:rPr>
            </w:pPr>
          </w:p>
        </w:tc>
        <w:tc>
          <w:tcPr>
            <w:tcW w:w="1258" w:type="dxa"/>
          </w:tcPr>
          <w:p>
            <w:pPr>
              <w:topLinePunct/>
              <w:spacing w:before="60" w:after="60"/>
              <w:rPr>
                <w:szCs w:val="21"/>
              </w:rPr>
            </w:pPr>
          </w:p>
        </w:tc>
        <w:tc>
          <w:tcPr>
            <w:tcW w:w="1167" w:type="dxa"/>
            <w:vAlign w:val="center"/>
          </w:tcPr>
          <w:p>
            <w:pPr>
              <w:topLinePunct/>
              <w:spacing w:before="60" w:after="60"/>
              <w:rPr>
                <w:szCs w:val="21"/>
              </w:rPr>
            </w:pPr>
          </w:p>
        </w:tc>
        <w:tc>
          <w:tcPr>
            <w:tcW w:w="1300" w:type="dxa"/>
            <w:vAlign w:val="center"/>
          </w:tcPr>
          <w:p>
            <w:pPr>
              <w:topLinePunct/>
              <w:spacing w:before="60" w:after="60"/>
              <w:rPr>
                <w:szCs w:val="21"/>
              </w:rPr>
            </w:pPr>
          </w:p>
        </w:tc>
        <w:tc>
          <w:tcPr>
            <w:tcW w:w="1000" w:type="dxa"/>
          </w:tcPr>
          <w:p>
            <w:pPr>
              <w:topLinePunct/>
              <w:spacing w:before="60" w:after="60"/>
              <w:rPr>
                <w:szCs w:val="21"/>
              </w:rPr>
            </w:pPr>
          </w:p>
        </w:tc>
        <w:tc>
          <w:tcPr>
            <w:tcW w:w="1000"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szCs w:val="21"/>
              </w:rPr>
            </w:pPr>
            <w:r>
              <w:rPr>
                <w:rFonts w:hint="eastAsia"/>
                <w:szCs w:val="21"/>
              </w:rPr>
              <w:t>3</w:t>
            </w:r>
          </w:p>
        </w:tc>
        <w:tc>
          <w:tcPr>
            <w:tcW w:w="1284" w:type="dxa"/>
            <w:vAlign w:val="center"/>
          </w:tcPr>
          <w:p>
            <w:pPr>
              <w:topLinePunct/>
              <w:spacing w:before="60" w:after="60"/>
              <w:rPr>
                <w:szCs w:val="21"/>
              </w:rPr>
            </w:pPr>
          </w:p>
        </w:tc>
        <w:tc>
          <w:tcPr>
            <w:tcW w:w="984" w:type="dxa"/>
            <w:vAlign w:val="center"/>
          </w:tcPr>
          <w:p>
            <w:pPr>
              <w:topLinePunct/>
              <w:spacing w:before="60" w:after="60"/>
              <w:jc w:val="center"/>
              <w:rPr>
                <w:szCs w:val="21"/>
              </w:rPr>
            </w:pPr>
          </w:p>
        </w:tc>
        <w:tc>
          <w:tcPr>
            <w:tcW w:w="1258" w:type="dxa"/>
          </w:tcPr>
          <w:p>
            <w:pPr>
              <w:topLinePunct/>
              <w:spacing w:before="60" w:after="60"/>
              <w:rPr>
                <w:szCs w:val="21"/>
              </w:rPr>
            </w:pPr>
          </w:p>
        </w:tc>
        <w:tc>
          <w:tcPr>
            <w:tcW w:w="1167" w:type="dxa"/>
            <w:vAlign w:val="center"/>
          </w:tcPr>
          <w:p>
            <w:pPr>
              <w:topLinePunct/>
              <w:spacing w:before="60" w:after="60"/>
              <w:rPr>
                <w:szCs w:val="21"/>
              </w:rPr>
            </w:pPr>
          </w:p>
        </w:tc>
        <w:tc>
          <w:tcPr>
            <w:tcW w:w="1300" w:type="dxa"/>
            <w:vAlign w:val="center"/>
          </w:tcPr>
          <w:p>
            <w:pPr>
              <w:topLinePunct/>
              <w:spacing w:before="60" w:after="60"/>
              <w:rPr>
                <w:szCs w:val="21"/>
              </w:rPr>
            </w:pPr>
          </w:p>
        </w:tc>
        <w:tc>
          <w:tcPr>
            <w:tcW w:w="1000" w:type="dxa"/>
          </w:tcPr>
          <w:p>
            <w:pPr>
              <w:topLinePunct/>
              <w:spacing w:before="60" w:after="60"/>
              <w:rPr>
                <w:szCs w:val="21"/>
              </w:rPr>
            </w:pPr>
          </w:p>
        </w:tc>
        <w:tc>
          <w:tcPr>
            <w:tcW w:w="1000" w:type="dxa"/>
            <w:vAlign w:val="center"/>
          </w:tcPr>
          <w:p>
            <w:pPr>
              <w:topLinePunct/>
              <w:spacing w:before="60" w:after="60"/>
              <w:rPr>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szCs w:val="21"/>
              </w:rPr>
            </w:pPr>
            <w:r>
              <w:rPr>
                <w:rFonts w:hint="eastAsia"/>
                <w:szCs w:val="21"/>
              </w:rPr>
              <w:t>4</w:t>
            </w:r>
          </w:p>
        </w:tc>
        <w:tc>
          <w:tcPr>
            <w:tcW w:w="1284" w:type="dxa"/>
            <w:vAlign w:val="center"/>
          </w:tcPr>
          <w:p>
            <w:pPr>
              <w:topLinePunct/>
              <w:spacing w:before="60" w:after="60"/>
              <w:rPr>
                <w:szCs w:val="21"/>
              </w:rPr>
            </w:pPr>
          </w:p>
        </w:tc>
        <w:tc>
          <w:tcPr>
            <w:tcW w:w="984" w:type="dxa"/>
            <w:vAlign w:val="center"/>
          </w:tcPr>
          <w:p>
            <w:pPr>
              <w:topLinePunct/>
              <w:spacing w:before="60" w:after="60"/>
              <w:jc w:val="center"/>
              <w:rPr>
                <w:szCs w:val="21"/>
              </w:rPr>
            </w:pPr>
          </w:p>
        </w:tc>
        <w:tc>
          <w:tcPr>
            <w:tcW w:w="1258" w:type="dxa"/>
          </w:tcPr>
          <w:p>
            <w:pPr>
              <w:topLinePunct/>
              <w:spacing w:before="60" w:after="60"/>
              <w:rPr>
                <w:szCs w:val="21"/>
              </w:rPr>
            </w:pPr>
          </w:p>
        </w:tc>
        <w:tc>
          <w:tcPr>
            <w:tcW w:w="1167" w:type="dxa"/>
            <w:vAlign w:val="center"/>
          </w:tcPr>
          <w:p>
            <w:pPr>
              <w:topLinePunct/>
              <w:spacing w:before="60" w:after="60"/>
              <w:rPr>
                <w:szCs w:val="21"/>
              </w:rPr>
            </w:pPr>
          </w:p>
        </w:tc>
        <w:tc>
          <w:tcPr>
            <w:tcW w:w="1300" w:type="dxa"/>
            <w:vAlign w:val="center"/>
          </w:tcPr>
          <w:p>
            <w:pPr>
              <w:topLinePunct/>
              <w:spacing w:before="60" w:after="60"/>
              <w:rPr>
                <w:szCs w:val="21"/>
              </w:rPr>
            </w:pPr>
          </w:p>
        </w:tc>
        <w:tc>
          <w:tcPr>
            <w:tcW w:w="1000" w:type="dxa"/>
          </w:tcPr>
          <w:p>
            <w:pPr>
              <w:topLinePunct/>
              <w:spacing w:before="60" w:after="60"/>
              <w:rPr>
                <w:szCs w:val="21"/>
              </w:rPr>
            </w:pPr>
          </w:p>
        </w:tc>
        <w:tc>
          <w:tcPr>
            <w:tcW w:w="1000" w:type="dxa"/>
            <w:vAlign w:val="center"/>
          </w:tcPr>
          <w:p>
            <w:pPr>
              <w:topLinePunct/>
              <w:spacing w:before="60" w:after="60"/>
              <w:rPr>
                <w:szCs w:val="21"/>
              </w:rPr>
            </w:pPr>
          </w:p>
        </w:tc>
      </w:tr>
    </w:tbl>
    <w:p>
      <w:pPr>
        <w:ind w:firstLine="210" w:firstLineChars="100"/>
        <w:jc w:val="left"/>
        <w:rPr>
          <w:rFonts w:hint="eastAsia" w:ascii="宋体" w:hAnsi="宋体" w:eastAsia="宋体" w:cs="宋体"/>
          <w:szCs w:val="21"/>
        </w:rPr>
      </w:pPr>
    </w:p>
    <w:p>
      <w:pPr>
        <w:pStyle w:val="3"/>
        <w:rPr>
          <w:rFonts w:hint="eastAsia" w:ascii="宋体" w:hAnsi="宋体" w:eastAsia="宋体" w:cs="宋体"/>
          <w:sz w:val="21"/>
        </w:rPr>
      </w:pPr>
      <w:bookmarkStart w:id="63" w:name="_Toc24440"/>
      <w:bookmarkStart w:id="64" w:name="_Toc2117"/>
      <w:bookmarkStart w:id="65" w:name="_Toc30542"/>
      <w:r>
        <w:rPr>
          <w:rFonts w:hint="eastAsia" w:ascii="宋体" w:hAnsi="宋体" w:eastAsia="宋体" w:cs="宋体"/>
          <w:sz w:val="21"/>
          <w:lang w:val="en-US" w:eastAsia="zh-CN"/>
        </w:rPr>
        <w:t xml:space="preserve">附录4 </w:t>
      </w:r>
      <w:r>
        <w:rPr>
          <w:rFonts w:hint="eastAsia" w:ascii="宋体" w:hAnsi="宋体" w:eastAsia="宋体" w:cs="宋体"/>
          <w:sz w:val="21"/>
        </w:rPr>
        <w:t>备品备件、专用工具和仪器仪表供货表</w:t>
      </w:r>
      <w:bookmarkEnd w:id="63"/>
      <w:bookmarkEnd w:id="64"/>
      <w:bookmarkEnd w:id="65"/>
    </w:p>
    <w:p>
      <w:pPr>
        <w:pStyle w:val="37"/>
        <w:spacing w:line="360" w:lineRule="auto"/>
        <w:ind w:firstLine="420" w:firstLineChars="200"/>
        <w:jc w:val="both"/>
        <w:outlineLvl w:val="9"/>
        <w:rPr>
          <w:rFonts w:hint="eastAsia" w:ascii="宋体" w:hAnsi="宋体" w:eastAsia="宋体" w:cs="宋体"/>
        </w:rPr>
      </w:pPr>
      <w:r>
        <w:rPr>
          <w:rFonts w:hint="eastAsia"/>
          <w:szCs w:val="21"/>
        </w:rPr>
        <w:t>投标方应向需方提供必备的备品备件、专用工具和仪器仪表清单见表</w:t>
      </w:r>
      <w:r>
        <w:rPr>
          <w:rFonts w:hint="eastAsia"/>
          <w:szCs w:val="21"/>
          <w:lang w:val="en-US" w:eastAsia="zh-CN"/>
        </w:rPr>
        <w:t>11.1</w:t>
      </w:r>
      <w:r>
        <w:rPr>
          <w:rFonts w:hint="eastAsia"/>
          <w:szCs w:val="21"/>
        </w:rPr>
        <w:t>, 要求提供的备品备件、专用工具和仪器仪表应是新品, 与设备同型号、同工艺。</w:t>
      </w:r>
    </w:p>
    <w:p>
      <w:pPr>
        <w:pStyle w:val="37"/>
        <w:outlineLvl w:val="9"/>
        <w:rPr>
          <w:rFonts w:hint="eastAsia" w:ascii="宋体" w:hAnsi="宋体" w:eastAsia="宋体" w:cs="宋体"/>
        </w:rPr>
      </w:pPr>
      <w:r>
        <w:rPr>
          <w:rFonts w:hint="eastAsia" w:hAnsi="宋体" w:cs="宋体"/>
          <w:lang w:val="en-US" w:eastAsia="zh-CN"/>
        </w:rPr>
        <w:t>附表4</w:t>
      </w:r>
      <w:r>
        <w:rPr>
          <w:rFonts w:hint="eastAsia" w:ascii="宋体" w:hAnsi="宋体" w:eastAsia="宋体" w:cs="宋体"/>
        </w:rPr>
        <w:t xml:space="preserve">  </w:t>
      </w:r>
      <w:r>
        <w:rPr>
          <w:rFonts w:hint="eastAsia"/>
          <w:szCs w:val="21"/>
        </w:rPr>
        <w:t>必备及</w:t>
      </w:r>
      <w:r>
        <w:rPr>
          <w:szCs w:val="21"/>
        </w:rPr>
        <w:t>推荐的</w:t>
      </w:r>
      <w:r>
        <w:rPr>
          <w:rFonts w:hint="eastAsia"/>
          <w:szCs w:val="21"/>
        </w:rPr>
        <w:t>备品备件、专用工具和仪器仪表清单</w:t>
      </w:r>
      <w:r>
        <w:rPr>
          <w:rFonts w:hint="eastAsia" w:ascii="宋体" w:hAnsi="宋体" w:eastAsia="宋体" w:cs="宋体"/>
        </w:rPr>
        <w:t>（投标方填写）</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Ansi="宋体"/>
                <w:b/>
                <w:bCs/>
                <w:szCs w:val="21"/>
              </w:rPr>
            </w:pPr>
            <w:r>
              <w:rPr>
                <w:rFonts w:hint="eastAsia" w:hAnsi="宋体"/>
                <w:b/>
                <w:bCs/>
                <w:szCs w:val="21"/>
              </w:rPr>
              <w:t>序号</w:t>
            </w:r>
          </w:p>
        </w:tc>
        <w:tc>
          <w:tcPr>
            <w:tcW w:w="1692" w:type="dxa"/>
            <w:vAlign w:val="center"/>
          </w:tcPr>
          <w:p>
            <w:pPr>
              <w:pStyle w:val="12"/>
              <w:jc w:val="center"/>
              <w:rPr>
                <w:rFonts w:hAnsi="宋体"/>
                <w:b/>
                <w:bCs/>
                <w:szCs w:val="21"/>
              </w:rPr>
            </w:pPr>
            <w:r>
              <w:rPr>
                <w:rFonts w:hint="eastAsia" w:hAnsi="宋体"/>
                <w:b/>
                <w:bCs/>
                <w:szCs w:val="21"/>
              </w:rPr>
              <w:t>名称</w:t>
            </w:r>
          </w:p>
        </w:tc>
        <w:tc>
          <w:tcPr>
            <w:tcW w:w="912" w:type="dxa"/>
            <w:vAlign w:val="center"/>
          </w:tcPr>
          <w:p>
            <w:pPr>
              <w:pStyle w:val="12"/>
              <w:jc w:val="center"/>
              <w:rPr>
                <w:rFonts w:hAnsi="宋体"/>
                <w:b/>
                <w:bCs/>
                <w:szCs w:val="21"/>
              </w:rPr>
            </w:pPr>
            <w:r>
              <w:rPr>
                <w:rFonts w:hint="eastAsia" w:hAnsi="宋体"/>
                <w:b/>
                <w:bCs/>
                <w:szCs w:val="21"/>
              </w:rPr>
              <w:t>型号及规格</w:t>
            </w:r>
          </w:p>
        </w:tc>
        <w:tc>
          <w:tcPr>
            <w:tcW w:w="1136" w:type="dxa"/>
            <w:vAlign w:val="center"/>
          </w:tcPr>
          <w:p>
            <w:pPr>
              <w:pStyle w:val="12"/>
              <w:jc w:val="center"/>
              <w:rPr>
                <w:rFonts w:hAnsi="宋体"/>
                <w:b/>
                <w:bCs/>
                <w:szCs w:val="21"/>
              </w:rPr>
            </w:pPr>
            <w:r>
              <w:rPr>
                <w:rFonts w:hint="eastAsia" w:hAnsi="宋体"/>
                <w:b/>
                <w:bCs/>
                <w:szCs w:val="21"/>
              </w:rPr>
              <w:t>单位</w:t>
            </w:r>
          </w:p>
        </w:tc>
        <w:tc>
          <w:tcPr>
            <w:tcW w:w="817" w:type="dxa"/>
            <w:vAlign w:val="center"/>
          </w:tcPr>
          <w:p>
            <w:pPr>
              <w:pStyle w:val="12"/>
              <w:jc w:val="center"/>
              <w:rPr>
                <w:rFonts w:hAnsi="宋体"/>
                <w:b/>
                <w:bCs/>
                <w:szCs w:val="21"/>
              </w:rPr>
            </w:pPr>
            <w:r>
              <w:rPr>
                <w:rFonts w:hint="eastAsia" w:hAnsi="宋体"/>
                <w:b/>
                <w:bCs/>
                <w:szCs w:val="21"/>
              </w:rPr>
              <w:t>数量</w:t>
            </w:r>
          </w:p>
        </w:tc>
        <w:tc>
          <w:tcPr>
            <w:tcW w:w="1382" w:type="dxa"/>
            <w:vAlign w:val="center"/>
          </w:tcPr>
          <w:p>
            <w:pPr>
              <w:pStyle w:val="12"/>
              <w:jc w:val="center"/>
              <w:rPr>
                <w:rFonts w:hAnsi="宋体"/>
                <w:b/>
                <w:bCs/>
                <w:szCs w:val="21"/>
              </w:rPr>
            </w:pPr>
            <w:r>
              <w:rPr>
                <w:rFonts w:hint="eastAsia" w:hAnsi="宋体"/>
                <w:b/>
                <w:bCs/>
                <w:szCs w:val="21"/>
              </w:rPr>
              <w:t>使用处</w:t>
            </w:r>
          </w:p>
        </w:tc>
        <w:tc>
          <w:tcPr>
            <w:tcW w:w="974" w:type="dxa"/>
            <w:vAlign w:val="center"/>
          </w:tcPr>
          <w:p>
            <w:pPr>
              <w:pStyle w:val="12"/>
              <w:jc w:val="center"/>
              <w:rPr>
                <w:rFonts w:hAnsi="宋体"/>
                <w:b/>
                <w:bCs/>
                <w:szCs w:val="21"/>
              </w:rPr>
            </w:pPr>
            <w:r>
              <w:rPr>
                <w:rFonts w:hint="eastAsia" w:hAnsi="宋体"/>
                <w:b/>
                <w:bCs/>
                <w:szCs w:val="21"/>
              </w:rPr>
              <w:t>制造商</w:t>
            </w:r>
          </w:p>
        </w:tc>
        <w:tc>
          <w:tcPr>
            <w:tcW w:w="996" w:type="dxa"/>
            <w:vAlign w:val="center"/>
          </w:tcPr>
          <w:p>
            <w:pPr>
              <w:pStyle w:val="12"/>
              <w:jc w:val="center"/>
              <w:rPr>
                <w:rFonts w:hAnsi="宋体"/>
                <w:b/>
                <w:bCs/>
                <w:szCs w:val="21"/>
              </w:rPr>
            </w:pPr>
            <w:r>
              <w:rPr>
                <w:rFonts w:hint="eastAsia" w:hAnsi="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szCs w:val="21"/>
              </w:rPr>
            </w:pPr>
          </w:p>
        </w:tc>
        <w:tc>
          <w:tcPr>
            <w:tcW w:w="1692" w:type="dxa"/>
          </w:tcPr>
          <w:p>
            <w:pPr>
              <w:pStyle w:val="12"/>
              <w:jc w:val="center"/>
              <w:rPr>
                <w:rFonts w:hAnsi="宋体"/>
                <w:szCs w:val="21"/>
              </w:rPr>
            </w:pPr>
          </w:p>
        </w:tc>
        <w:tc>
          <w:tcPr>
            <w:tcW w:w="912" w:type="dxa"/>
          </w:tcPr>
          <w:p>
            <w:pPr>
              <w:pStyle w:val="12"/>
              <w:jc w:val="center"/>
              <w:rPr>
                <w:rFonts w:hAnsi="宋体"/>
                <w:szCs w:val="21"/>
              </w:rPr>
            </w:pPr>
          </w:p>
        </w:tc>
        <w:tc>
          <w:tcPr>
            <w:tcW w:w="1136" w:type="dxa"/>
          </w:tcPr>
          <w:p>
            <w:pPr>
              <w:pStyle w:val="12"/>
              <w:jc w:val="center"/>
              <w:rPr>
                <w:rFonts w:hAnsi="宋体"/>
                <w:szCs w:val="21"/>
              </w:rPr>
            </w:pPr>
          </w:p>
        </w:tc>
        <w:tc>
          <w:tcPr>
            <w:tcW w:w="817" w:type="dxa"/>
          </w:tcPr>
          <w:p>
            <w:pPr>
              <w:pStyle w:val="12"/>
              <w:jc w:val="center"/>
              <w:rPr>
                <w:rFonts w:hAnsi="宋体"/>
                <w:szCs w:val="21"/>
              </w:rPr>
            </w:pPr>
          </w:p>
        </w:tc>
        <w:tc>
          <w:tcPr>
            <w:tcW w:w="1382" w:type="dxa"/>
          </w:tcPr>
          <w:p>
            <w:pPr>
              <w:pStyle w:val="12"/>
              <w:jc w:val="center"/>
              <w:rPr>
                <w:rFonts w:hAnsi="宋体"/>
                <w:szCs w:val="21"/>
              </w:rPr>
            </w:pPr>
          </w:p>
        </w:tc>
        <w:tc>
          <w:tcPr>
            <w:tcW w:w="974" w:type="dxa"/>
          </w:tcPr>
          <w:p>
            <w:pPr>
              <w:pStyle w:val="12"/>
              <w:jc w:val="center"/>
              <w:rPr>
                <w:rFonts w:hAnsi="宋体"/>
                <w:szCs w:val="21"/>
              </w:rPr>
            </w:pPr>
          </w:p>
        </w:tc>
        <w:tc>
          <w:tcPr>
            <w:tcW w:w="996" w:type="dxa"/>
          </w:tcPr>
          <w:p>
            <w:pPr>
              <w:pStyle w:val="12"/>
              <w:jc w:val="center"/>
              <w:rPr>
                <w:rFonts w:hAnsi="宋体"/>
                <w:szCs w:val="21"/>
              </w:rPr>
            </w:pPr>
          </w:p>
        </w:tc>
      </w:tr>
    </w:tbl>
    <w:p>
      <w:pPr>
        <w:spacing w:line="360" w:lineRule="auto"/>
        <w:ind w:firstLine="2940"/>
        <w:jc w:val="right"/>
        <w:rPr>
          <w:szCs w:val="21"/>
        </w:rPr>
      </w:pPr>
      <w:r>
        <w:rPr>
          <w:szCs w:val="21"/>
        </w:rPr>
        <w:t>投标商名称：               （盖章）</w:t>
      </w:r>
    </w:p>
    <w:p>
      <w:pPr>
        <w:spacing w:line="360" w:lineRule="auto"/>
        <w:ind w:firstLine="645"/>
        <w:jc w:val="right"/>
        <w:rPr>
          <w:szCs w:val="21"/>
        </w:rPr>
      </w:pPr>
      <w:r>
        <w:rPr>
          <w:szCs w:val="21"/>
        </w:rPr>
        <w:t>授权投标人：               （签字）</w:t>
      </w:r>
    </w:p>
    <w:p>
      <w:pPr>
        <w:jc w:val="right"/>
        <w:rPr>
          <w:szCs w:val="21"/>
        </w:rPr>
      </w:pPr>
      <w:r>
        <w:rPr>
          <w:szCs w:val="21"/>
        </w:rPr>
        <w:t>日      期：         年    月    日</w:t>
      </w:r>
    </w:p>
    <w:p/>
    <w:sectPr>
      <w:footerReference r:id="rId5"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1"/>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1"/>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4"/>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02B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36131"/>
    <w:rsid w:val="01565C22"/>
    <w:rsid w:val="015B3238"/>
    <w:rsid w:val="01830099"/>
    <w:rsid w:val="01A544B3"/>
    <w:rsid w:val="01C72103"/>
    <w:rsid w:val="01D17056"/>
    <w:rsid w:val="01E0373D"/>
    <w:rsid w:val="02094A42"/>
    <w:rsid w:val="021919A7"/>
    <w:rsid w:val="0233386D"/>
    <w:rsid w:val="023F0464"/>
    <w:rsid w:val="024B0B74"/>
    <w:rsid w:val="0261487E"/>
    <w:rsid w:val="02702D13"/>
    <w:rsid w:val="02A93B2F"/>
    <w:rsid w:val="02B26E88"/>
    <w:rsid w:val="02C866AB"/>
    <w:rsid w:val="032C4E8C"/>
    <w:rsid w:val="03433F84"/>
    <w:rsid w:val="03435D32"/>
    <w:rsid w:val="037A07A4"/>
    <w:rsid w:val="038A6ADC"/>
    <w:rsid w:val="039E565E"/>
    <w:rsid w:val="03B22EB7"/>
    <w:rsid w:val="03D41080"/>
    <w:rsid w:val="03E2379C"/>
    <w:rsid w:val="03F60FF6"/>
    <w:rsid w:val="040D00EE"/>
    <w:rsid w:val="040E27E3"/>
    <w:rsid w:val="04187528"/>
    <w:rsid w:val="04323FA5"/>
    <w:rsid w:val="0433224A"/>
    <w:rsid w:val="0486237A"/>
    <w:rsid w:val="04A647CA"/>
    <w:rsid w:val="04AB1DE0"/>
    <w:rsid w:val="04B52C5F"/>
    <w:rsid w:val="04BA0275"/>
    <w:rsid w:val="04C11604"/>
    <w:rsid w:val="04C63B63"/>
    <w:rsid w:val="04E11CA6"/>
    <w:rsid w:val="04ED064B"/>
    <w:rsid w:val="04F419D9"/>
    <w:rsid w:val="05243941"/>
    <w:rsid w:val="05377B18"/>
    <w:rsid w:val="05542478"/>
    <w:rsid w:val="05594AD8"/>
    <w:rsid w:val="055E6E53"/>
    <w:rsid w:val="05622323"/>
    <w:rsid w:val="056621AB"/>
    <w:rsid w:val="05882122"/>
    <w:rsid w:val="059B40E6"/>
    <w:rsid w:val="059F38ED"/>
    <w:rsid w:val="05D15877"/>
    <w:rsid w:val="05D6225E"/>
    <w:rsid w:val="05F6352F"/>
    <w:rsid w:val="05FE23E4"/>
    <w:rsid w:val="0607005F"/>
    <w:rsid w:val="061B2F96"/>
    <w:rsid w:val="06222576"/>
    <w:rsid w:val="0639166E"/>
    <w:rsid w:val="06500E91"/>
    <w:rsid w:val="065169B7"/>
    <w:rsid w:val="067B1C86"/>
    <w:rsid w:val="067F1777"/>
    <w:rsid w:val="06913258"/>
    <w:rsid w:val="06AD6F44"/>
    <w:rsid w:val="06BA455D"/>
    <w:rsid w:val="06C50397"/>
    <w:rsid w:val="06DF363F"/>
    <w:rsid w:val="06E65352"/>
    <w:rsid w:val="06EB0BBA"/>
    <w:rsid w:val="06EB2968"/>
    <w:rsid w:val="070659F4"/>
    <w:rsid w:val="07181283"/>
    <w:rsid w:val="07196B72"/>
    <w:rsid w:val="07247C28"/>
    <w:rsid w:val="07372051"/>
    <w:rsid w:val="07373DFF"/>
    <w:rsid w:val="07524F70"/>
    <w:rsid w:val="0762369E"/>
    <w:rsid w:val="077C13D1"/>
    <w:rsid w:val="078132CC"/>
    <w:rsid w:val="07E37AE3"/>
    <w:rsid w:val="07F65A68"/>
    <w:rsid w:val="080041F1"/>
    <w:rsid w:val="08031F33"/>
    <w:rsid w:val="08070D6B"/>
    <w:rsid w:val="0808579C"/>
    <w:rsid w:val="08147C9D"/>
    <w:rsid w:val="0828199A"/>
    <w:rsid w:val="08534C69"/>
    <w:rsid w:val="08762705"/>
    <w:rsid w:val="088E7A4F"/>
    <w:rsid w:val="089963F4"/>
    <w:rsid w:val="08BA6A96"/>
    <w:rsid w:val="08D062B9"/>
    <w:rsid w:val="08D51B22"/>
    <w:rsid w:val="08E65ADD"/>
    <w:rsid w:val="091E5277"/>
    <w:rsid w:val="092D54BA"/>
    <w:rsid w:val="094620D8"/>
    <w:rsid w:val="09523172"/>
    <w:rsid w:val="09756E61"/>
    <w:rsid w:val="09905A49"/>
    <w:rsid w:val="09BF1E8A"/>
    <w:rsid w:val="0A312D88"/>
    <w:rsid w:val="0A3B7763"/>
    <w:rsid w:val="0A5D1DCF"/>
    <w:rsid w:val="0A60541B"/>
    <w:rsid w:val="0A8C6210"/>
    <w:rsid w:val="0AA51080"/>
    <w:rsid w:val="0AAE43D8"/>
    <w:rsid w:val="0AB319EF"/>
    <w:rsid w:val="0AB83D00"/>
    <w:rsid w:val="0AC5572D"/>
    <w:rsid w:val="0B064214"/>
    <w:rsid w:val="0B316DB7"/>
    <w:rsid w:val="0B4471DE"/>
    <w:rsid w:val="0B5150BB"/>
    <w:rsid w:val="0B5C3671"/>
    <w:rsid w:val="0B8E7D66"/>
    <w:rsid w:val="0BC1638D"/>
    <w:rsid w:val="0BD364C5"/>
    <w:rsid w:val="0BED0F30"/>
    <w:rsid w:val="0BED7182"/>
    <w:rsid w:val="0BF63404"/>
    <w:rsid w:val="0BFA364D"/>
    <w:rsid w:val="0C0A1AE2"/>
    <w:rsid w:val="0C3F75A4"/>
    <w:rsid w:val="0C540FAF"/>
    <w:rsid w:val="0C7A6CC6"/>
    <w:rsid w:val="0CA710DF"/>
    <w:rsid w:val="0CBC22E0"/>
    <w:rsid w:val="0CCF6888"/>
    <w:rsid w:val="0CE42333"/>
    <w:rsid w:val="0D0C188A"/>
    <w:rsid w:val="0D0C53E6"/>
    <w:rsid w:val="0D186481"/>
    <w:rsid w:val="0D557EF2"/>
    <w:rsid w:val="0D576FA9"/>
    <w:rsid w:val="0D8E229F"/>
    <w:rsid w:val="0D927FE1"/>
    <w:rsid w:val="0DB6446C"/>
    <w:rsid w:val="0DBF4B4E"/>
    <w:rsid w:val="0DC42165"/>
    <w:rsid w:val="0DCB52A1"/>
    <w:rsid w:val="0DE85E53"/>
    <w:rsid w:val="0DFC545B"/>
    <w:rsid w:val="0E236E8B"/>
    <w:rsid w:val="0E2D23C9"/>
    <w:rsid w:val="0E2D3866"/>
    <w:rsid w:val="0E3015A8"/>
    <w:rsid w:val="0E4806A0"/>
    <w:rsid w:val="0E574D87"/>
    <w:rsid w:val="0E5C239D"/>
    <w:rsid w:val="0E686F94"/>
    <w:rsid w:val="0E811E04"/>
    <w:rsid w:val="0E8C4A31"/>
    <w:rsid w:val="0E8F4578"/>
    <w:rsid w:val="0E96765D"/>
    <w:rsid w:val="0EA33B28"/>
    <w:rsid w:val="0EC3241C"/>
    <w:rsid w:val="0EF24286"/>
    <w:rsid w:val="0F113188"/>
    <w:rsid w:val="0F384BB8"/>
    <w:rsid w:val="0F56503F"/>
    <w:rsid w:val="0F6B0AEA"/>
    <w:rsid w:val="0F706100"/>
    <w:rsid w:val="0F753717"/>
    <w:rsid w:val="0F851480"/>
    <w:rsid w:val="0F8C6CB2"/>
    <w:rsid w:val="0F9C1270"/>
    <w:rsid w:val="0FA45AB8"/>
    <w:rsid w:val="0FA53138"/>
    <w:rsid w:val="0FB51D65"/>
    <w:rsid w:val="0FD06B9F"/>
    <w:rsid w:val="0FE268D2"/>
    <w:rsid w:val="0FEC6FA4"/>
    <w:rsid w:val="0FF52AA9"/>
    <w:rsid w:val="10057E7A"/>
    <w:rsid w:val="100827DD"/>
    <w:rsid w:val="101051ED"/>
    <w:rsid w:val="10172A20"/>
    <w:rsid w:val="1017657C"/>
    <w:rsid w:val="102D2243"/>
    <w:rsid w:val="103A670E"/>
    <w:rsid w:val="10480E2B"/>
    <w:rsid w:val="108D683E"/>
    <w:rsid w:val="10AB3168"/>
    <w:rsid w:val="10FB40F0"/>
    <w:rsid w:val="110A5775"/>
    <w:rsid w:val="111725AC"/>
    <w:rsid w:val="112076B2"/>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631BD"/>
    <w:rsid w:val="13385187"/>
    <w:rsid w:val="138E4DA7"/>
    <w:rsid w:val="139B3968"/>
    <w:rsid w:val="13A1426D"/>
    <w:rsid w:val="13A20852"/>
    <w:rsid w:val="13A22600"/>
    <w:rsid w:val="13AF4D1D"/>
    <w:rsid w:val="13BC5DB8"/>
    <w:rsid w:val="13C407C9"/>
    <w:rsid w:val="13EE5846"/>
    <w:rsid w:val="143C2A55"/>
    <w:rsid w:val="145C6C53"/>
    <w:rsid w:val="1468384A"/>
    <w:rsid w:val="14975EDD"/>
    <w:rsid w:val="14B00D4D"/>
    <w:rsid w:val="14EC0B0E"/>
    <w:rsid w:val="150B1953"/>
    <w:rsid w:val="1514752E"/>
    <w:rsid w:val="151F7EC9"/>
    <w:rsid w:val="154F0566"/>
    <w:rsid w:val="15503C2B"/>
    <w:rsid w:val="15533FA7"/>
    <w:rsid w:val="15542DEB"/>
    <w:rsid w:val="1561297C"/>
    <w:rsid w:val="15695ACC"/>
    <w:rsid w:val="156E30E2"/>
    <w:rsid w:val="15842905"/>
    <w:rsid w:val="15D31197"/>
    <w:rsid w:val="15D8055B"/>
    <w:rsid w:val="15DE18EA"/>
    <w:rsid w:val="15E909BB"/>
    <w:rsid w:val="15EC0AF3"/>
    <w:rsid w:val="16092E0B"/>
    <w:rsid w:val="16175528"/>
    <w:rsid w:val="165C118C"/>
    <w:rsid w:val="168D57EA"/>
    <w:rsid w:val="169721C5"/>
    <w:rsid w:val="169F72CB"/>
    <w:rsid w:val="16AB5C70"/>
    <w:rsid w:val="16B32D77"/>
    <w:rsid w:val="16C17241"/>
    <w:rsid w:val="16CD3E38"/>
    <w:rsid w:val="170B2BB3"/>
    <w:rsid w:val="172123D6"/>
    <w:rsid w:val="1732013F"/>
    <w:rsid w:val="173E4D36"/>
    <w:rsid w:val="17832749"/>
    <w:rsid w:val="17884203"/>
    <w:rsid w:val="179B5CE4"/>
    <w:rsid w:val="17A34B99"/>
    <w:rsid w:val="17D17958"/>
    <w:rsid w:val="17D82A95"/>
    <w:rsid w:val="17F378CF"/>
    <w:rsid w:val="17FF44C5"/>
    <w:rsid w:val="18137F71"/>
    <w:rsid w:val="181E2472"/>
    <w:rsid w:val="182B52BA"/>
    <w:rsid w:val="182E4DAB"/>
    <w:rsid w:val="18365A0D"/>
    <w:rsid w:val="18707DF8"/>
    <w:rsid w:val="1875452B"/>
    <w:rsid w:val="1881312C"/>
    <w:rsid w:val="189A5894"/>
    <w:rsid w:val="189F7A56"/>
    <w:rsid w:val="18C272A1"/>
    <w:rsid w:val="18D41B24"/>
    <w:rsid w:val="18F71640"/>
    <w:rsid w:val="190F0738"/>
    <w:rsid w:val="19102D51"/>
    <w:rsid w:val="1910625E"/>
    <w:rsid w:val="191C2E55"/>
    <w:rsid w:val="192D5062"/>
    <w:rsid w:val="193C34F7"/>
    <w:rsid w:val="19404D95"/>
    <w:rsid w:val="19410B0E"/>
    <w:rsid w:val="197762DD"/>
    <w:rsid w:val="197902A7"/>
    <w:rsid w:val="19A74E14"/>
    <w:rsid w:val="19B17A41"/>
    <w:rsid w:val="19B66E06"/>
    <w:rsid w:val="19BC1F42"/>
    <w:rsid w:val="19D00AC6"/>
    <w:rsid w:val="19EA2F53"/>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4E2FF8"/>
    <w:rsid w:val="1C6636F9"/>
    <w:rsid w:val="1C9563AA"/>
    <w:rsid w:val="1C9D24FF"/>
    <w:rsid w:val="1CDB5B8E"/>
    <w:rsid w:val="1CF57C45"/>
    <w:rsid w:val="1CFE11EF"/>
    <w:rsid w:val="1CFF6D16"/>
    <w:rsid w:val="1D0D3BB9"/>
    <w:rsid w:val="1D300C7D"/>
    <w:rsid w:val="1D4110DC"/>
    <w:rsid w:val="1D882867"/>
    <w:rsid w:val="1D905BC0"/>
    <w:rsid w:val="1DBA49EB"/>
    <w:rsid w:val="1DC15D79"/>
    <w:rsid w:val="1DC67833"/>
    <w:rsid w:val="1DD67A76"/>
    <w:rsid w:val="1E0068A1"/>
    <w:rsid w:val="1E012619"/>
    <w:rsid w:val="1E05035C"/>
    <w:rsid w:val="1E2D340E"/>
    <w:rsid w:val="1E46556B"/>
    <w:rsid w:val="1E6E4153"/>
    <w:rsid w:val="1E7971B2"/>
    <w:rsid w:val="1E8B0972"/>
    <w:rsid w:val="1E960FB4"/>
    <w:rsid w:val="1E9F255E"/>
    <w:rsid w:val="1EA77665"/>
    <w:rsid w:val="1EDA17E8"/>
    <w:rsid w:val="1EE066D3"/>
    <w:rsid w:val="1EED151B"/>
    <w:rsid w:val="1EFA3C38"/>
    <w:rsid w:val="1EFF4DAB"/>
    <w:rsid w:val="1F071EB1"/>
    <w:rsid w:val="1F100D66"/>
    <w:rsid w:val="1F1C66C5"/>
    <w:rsid w:val="1F242A63"/>
    <w:rsid w:val="1F38399C"/>
    <w:rsid w:val="1F536EA5"/>
    <w:rsid w:val="1F58270D"/>
    <w:rsid w:val="1F5D6C30"/>
    <w:rsid w:val="1F703EFB"/>
    <w:rsid w:val="1F782000"/>
    <w:rsid w:val="1F8F4381"/>
    <w:rsid w:val="1F95570F"/>
    <w:rsid w:val="1F9B3A73"/>
    <w:rsid w:val="1FFB37C4"/>
    <w:rsid w:val="20020FF7"/>
    <w:rsid w:val="200E6F5E"/>
    <w:rsid w:val="203A77B8"/>
    <w:rsid w:val="20735A50"/>
    <w:rsid w:val="208F215E"/>
    <w:rsid w:val="209459C7"/>
    <w:rsid w:val="20A17691"/>
    <w:rsid w:val="20AE213B"/>
    <w:rsid w:val="20BF0C96"/>
    <w:rsid w:val="21130FE1"/>
    <w:rsid w:val="213B4094"/>
    <w:rsid w:val="213F5933"/>
    <w:rsid w:val="214B796E"/>
    <w:rsid w:val="217D645B"/>
    <w:rsid w:val="217E28FF"/>
    <w:rsid w:val="218944CA"/>
    <w:rsid w:val="21935C7E"/>
    <w:rsid w:val="219E33C1"/>
    <w:rsid w:val="21AB746C"/>
    <w:rsid w:val="21B3342C"/>
    <w:rsid w:val="21D56297"/>
    <w:rsid w:val="21D77852"/>
    <w:rsid w:val="21D818E3"/>
    <w:rsid w:val="2210107D"/>
    <w:rsid w:val="22665141"/>
    <w:rsid w:val="226758C5"/>
    <w:rsid w:val="226C09A9"/>
    <w:rsid w:val="22813D29"/>
    <w:rsid w:val="22851A6B"/>
    <w:rsid w:val="22993768"/>
    <w:rsid w:val="22A75E85"/>
    <w:rsid w:val="22BE6D2B"/>
    <w:rsid w:val="22C24A6D"/>
    <w:rsid w:val="22DB168B"/>
    <w:rsid w:val="22E04EF3"/>
    <w:rsid w:val="22E36B23"/>
    <w:rsid w:val="230961F8"/>
    <w:rsid w:val="2317144A"/>
    <w:rsid w:val="234E3570"/>
    <w:rsid w:val="23515DF1"/>
    <w:rsid w:val="23696C97"/>
    <w:rsid w:val="236B0C61"/>
    <w:rsid w:val="236B2A0F"/>
    <w:rsid w:val="23863CED"/>
    <w:rsid w:val="23A81EB5"/>
    <w:rsid w:val="23BF0FAD"/>
    <w:rsid w:val="23D700A4"/>
    <w:rsid w:val="24066BDB"/>
    <w:rsid w:val="240A6118"/>
    <w:rsid w:val="242552B4"/>
    <w:rsid w:val="24284DA4"/>
    <w:rsid w:val="242E1C8E"/>
    <w:rsid w:val="243279D1"/>
    <w:rsid w:val="244F2331"/>
    <w:rsid w:val="24521E21"/>
    <w:rsid w:val="245636BF"/>
    <w:rsid w:val="245B4376"/>
    <w:rsid w:val="245C67FB"/>
    <w:rsid w:val="245E2574"/>
    <w:rsid w:val="245E4322"/>
    <w:rsid w:val="24704055"/>
    <w:rsid w:val="247D50F0"/>
    <w:rsid w:val="24861ACA"/>
    <w:rsid w:val="24863878"/>
    <w:rsid w:val="248D71EA"/>
    <w:rsid w:val="248E0353"/>
    <w:rsid w:val="248F097F"/>
    <w:rsid w:val="24973CD7"/>
    <w:rsid w:val="24AD7057"/>
    <w:rsid w:val="24DE73C2"/>
    <w:rsid w:val="24FB4266"/>
    <w:rsid w:val="25034EC9"/>
    <w:rsid w:val="25050C41"/>
    <w:rsid w:val="250E5D48"/>
    <w:rsid w:val="25284930"/>
    <w:rsid w:val="25305A90"/>
    <w:rsid w:val="25315EDA"/>
    <w:rsid w:val="253936F8"/>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20F82"/>
    <w:rsid w:val="25E90563"/>
    <w:rsid w:val="260E3227"/>
    <w:rsid w:val="261750D0"/>
    <w:rsid w:val="26190E48"/>
    <w:rsid w:val="261D1FBA"/>
    <w:rsid w:val="263E1317"/>
    <w:rsid w:val="26492DAF"/>
    <w:rsid w:val="265C2AE3"/>
    <w:rsid w:val="265E685B"/>
    <w:rsid w:val="26895D65"/>
    <w:rsid w:val="26AD77E2"/>
    <w:rsid w:val="26C07516"/>
    <w:rsid w:val="26FD2518"/>
    <w:rsid w:val="26FE003E"/>
    <w:rsid w:val="272555CB"/>
    <w:rsid w:val="272C4BAB"/>
    <w:rsid w:val="27337CE7"/>
    <w:rsid w:val="27421CD9"/>
    <w:rsid w:val="27486F08"/>
    <w:rsid w:val="275B0FEC"/>
    <w:rsid w:val="277B51EB"/>
    <w:rsid w:val="27800A53"/>
    <w:rsid w:val="279B28DE"/>
    <w:rsid w:val="279F537D"/>
    <w:rsid w:val="27AC5CEC"/>
    <w:rsid w:val="280E2503"/>
    <w:rsid w:val="28247630"/>
    <w:rsid w:val="285223EF"/>
    <w:rsid w:val="286363AA"/>
    <w:rsid w:val="286553E4"/>
    <w:rsid w:val="28884063"/>
    <w:rsid w:val="288F719F"/>
    <w:rsid w:val="289610A9"/>
    <w:rsid w:val="28D17FD8"/>
    <w:rsid w:val="291458F7"/>
    <w:rsid w:val="292623EF"/>
    <w:rsid w:val="29451F54"/>
    <w:rsid w:val="294855A0"/>
    <w:rsid w:val="29534671"/>
    <w:rsid w:val="295B3526"/>
    <w:rsid w:val="29891E41"/>
    <w:rsid w:val="298C36DF"/>
    <w:rsid w:val="299627B0"/>
    <w:rsid w:val="299B7DC6"/>
    <w:rsid w:val="29A96C5C"/>
    <w:rsid w:val="29AC3D81"/>
    <w:rsid w:val="29BA46F0"/>
    <w:rsid w:val="29CE5AA6"/>
    <w:rsid w:val="29D954B6"/>
    <w:rsid w:val="29E8528E"/>
    <w:rsid w:val="29EB2AFB"/>
    <w:rsid w:val="29EE7EF6"/>
    <w:rsid w:val="2A077209"/>
    <w:rsid w:val="2A1B4A63"/>
    <w:rsid w:val="2A1D6A2D"/>
    <w:rsid w:val="2A2D414C"/>
    <w:rsid w:val="2A3466D6"/>
    <w:rsid w:val="2A3A75DF"/>
    <w:rsid w:val="2A5D507B"/>
    <w:rsid w:val="2A756869"/>
    <w:rsid w:val="2AC33E99"/>
    <w:rsid w:val="2AD553DA"/>
    <w:rsid w:val="2AE82B97"/>
    <w:rsid w:val="2AED28A3"/>
    <w:rsid w:val="2B004385"/>
    <w:rsid w:val="2B0759F5"/>
    <w:rsid w:val="2B146661"/>
    <w:rsid w:val="2B285689"/>
    <w:rsid w:val="2B3758CC"/>
    <w:rsid w:val="2B764647"/>
    <w:rsid w:val="2B8723B0"/>
    <w:rsid w:val="2B960845"/>
    <w:rsid w:val="2BD15D21"/>
    <w:rsid w:val="2BD54EEF"/>
    <w:rsid w:val="2BFD2672"/>
    <w:rsid w:val="2C041C52"/>
    <w:rsid w:val="2C1C3440"/>
    <w:rsid w:val="2C2220D9"/>
    <w:rsid w:val="2C2440A3"/>
    <w:rsid w:val="2C33078A"/>
    <w:rsid w:val="2C475FE3"/>
    <w:rsid w:val="2C5D5807"/>
    <w:rsid w:val="2C6B7F24"/>
    <w:rsid w:val="2C792640"/>
    <w:rsid w:val="2C8D23DB"/>
    <w:rsid w:val="2CA945A8"/>
    <w:rsid w:val="2CB76CC5"/>
    <w:rsid w:val="2CB82A3D"/>
    <w:rsid w:val="2CB847EB"/>
    <w:rsid w:val="2CC3566A"/>
    <w:rsid w:val="2CDC2BCF"/>
    <w:rsid w:val="2CDC54EB"/>
    <w:rsid w:val="2CE13D42"/>
    <w:rsid w:val="2D02403F"/>
    <w:rsid w:val="2D1660E1"/>
    <w:rsid w:val="2D1E6D44"/>
    <w:rsid w:val="2D256324"/>
    <w:rsid w:val="2D2A5DE1"/>
    <w:rsid w:val="2D5E5392"/>
    <w:rsid w:val="2D7501E6"/>
    <w:rsid w:val="2D834DF9"/>
    <w:rsid w:val="2D986AF6"/>
    <w:rsid w:val="2DB41456"/>
    <w:rsid w:val="2DE00514"/>
    <w:rsid w:val="2E0E6DB8"/>
    <w:rsid w:val="2E3C1B78"/>
    <w:rsid w:val="2E6B420B"/>
    <w:rsid w:val="2E725599"/>
    <w:rsid w:val="2E7F1A64"/>
    <w:rsid w:val="2E8B4236"/>
    <w:rsid w:val="2E9F2106"/>
    <w:rsid w:val="2EB86D24"/>
    <w:rsid w:val="2EBD433B"/>
    <w:rsid w:val="2ED33B5E"/>
    <w:rsid w:val="2ED3590C"/>
    <w:rsid w:val="2ED40CFA"/>
    <w:rsid w:val="2ED51684"/>
    <w:rsid w:val="2EF835C5"/>
    <w:rsid w:val="2F031658"/>
    <w:rsid w:val="2F285C58"/>
    <w:rsid w:val="2F3A3BDD"/>
    <w:rsid w:val="2F3E547B"/>
    <w:rsid w:val="2F6A6270"/>
    <w:rsid w:val="2F81180C"/>
    <w:rsid w:val="2F8A06C1"/>
    <w:rsid w:val="2FA21EAE"/>
    <w:rsid w:val="2FA71273"/>
    <w:rsid w:val="2FBF02CA"/>
    <w:rsid w:val="2FCE2CA3"/>
    <w:rsid w:val="2FD61A8E"/>
    <w:rsid w:val="2FDE0A0C"/>
    <w:rsid w:val="301306B6"/>
    <w:rsid w:val="306C5FDC"/>
    <w:rsid w:val="30703D5A"/>
    <w:rsid w:val="309D40A4"/>
    <w:rsid w:val="30D065A7"/>
    <w:rsid w:val="30FF0C3A"/>
    <w:rsid w:val="30FF6E8C"/>
    <w:rsid w:val="31085D41"/>
    <w:rsid w:val="311566B0"/>
    <w:rsid w:val="311E5564"/>
    <w:rsid w:val="311F12DD"/>
    <w:rsid w:val="31280191"/>
    <w:rsid w:val="3150593A"/>
    <w:rsid w:val="316B62D0"/>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4E7C57"/>
    <w:rsid w:val="335D0B51"/>
    <w:rsid w:val="335F420E"/>
    <w:rsid w:val="33680D19"/>
    <w:rsid w:val="336D632F"/>
    <w:rsid w:val="337C76E9"/>
    <w:rsid w:val="337D47C4"/>
    <w:rsid w:val="338A5133"/>
    <w:rsid w:val="338D4D76"/>
    <w:rsid w:val="339231BF"/>
    <w:rsid w:val="339E1A57"/>
    <w:rsid w:val="33AB6E58"/>
    <w:rsid w:val="33D26ADA"/>
    <w:rsid w:val="33FB6E55"/>
    <w:rsid w:val="344F3C87"/>
    <w:rsid w:val="346516FC"/>
    <w:rsid w:val="34784F8C"/>
    <w:rsid w:val="34802092"/>
    <w:rsid w:val="34847717"/>
    <w:rsid w:val="34925F45"/>
    <w:rsid w:val="34A42225"/>
    <w:rsid w:val="34B00BC9"/>
    <w:rsid w:val="34DA5C46"/>
    <w:rsid w:val="34E03C50"/>
    <w:rsid w:val="34F12F90"/>
    <w:rsid w:val="34F605A6"/>
    <w:rsid w:val="34FD7B87"/>
    <w:rsid w:val="35352E7D"/>
    <w:rsid w:val="35781E67"/>
    <w:rsid w:val="358838F4"/>
    <w:rsid w:val="358F4C83"/>
    <w:rsid w:val="35B50461"/>
    <w:rsid w:val="35B93AAE"/>
    <w:rsid w:val="35BA15D4"/>
    <w:rsid w:val="35D02BA5"/>
    <w:rsid w:val="35FC399A"/>
    <w:rsid w:val="360D3DFA"/>
    <w:rsid w:val="362A0508"/>
    <w:rsid w:val="362B0AA2"/>
    <w:rsid w:val="362C0724"/>
    <w:rsid w:val="36590DED"/>
    <w:rsid w:val="36633A19"/>
    <w:rsid w:val="36657792"/>
    <w:rsid w:val="368A369C"/>
    <w:rsid w:val="36922DDB"/>
    <w:rsid w:val="36AD1AB5"/>
    <w:rsid w:val="36B64491"/>
    <w:rsid w:val="36C7044C"/>
    <w:rsid w:val="36E96615"/>
    <w:rsid w:val="371810BA"/>
    <w:rsid w:val="37552FE1"/>
    <w:rsid w:val="37737C8C"/>
    <w:rsid w:val="37904CE2"/>
    <w:rsid w:val="37906A90"/>
    <w:rsid w:val="37924CCA"/>
    <w:rsid w:val="37A4078E"/>
    <w:rsid w:val="37B26A07"/>
    <w:rsid w:val="37B564F7"/>
    <w:rsid w:val="37C07D1E"/>
    <w:rsid w:val="37D270A9"/>
    <w:rsid w:val="380A4A95"/>
    <w:rsid w:val="381334DD"/>
    <w:rsid w:val="381A45AC"/>
    <w:rsid w:val="3845787B"/>
    <w:rsid w:val="389600D6"/>
    <w:rsid w:val="38983E4E"/>
    <w:rsid w:val="389E342F"/>
    <w:rsid w:val="38C033A5"/>
    <w:rsid w:val="38D330D8"/>
    <w:rsid w:val="38D53B5B"/>
    <w:rsid w:val="38E30E42"/>
    <w:rsid w:val="39111E53"/>
    <w:rsid w:val="39290F4A"/>
    <w:rsid w:val="395D0BF4"/>
    <w:rsid w:val="39C90037"/>
    <w:rsid w:val="3A0F6392"/>
    <w:rsid w:val="3A282FB0"/>
    <w:rsid w:val="3A2F2590"/>
    <w:rsid w:val="3A30455A"/>
    <w:rsid w:val="3A3B7187"/>
    <w:rsid w:val="3A543DA5"/>
    <w:rsid w:val="3A6C5593"/>
    <w:rsid w:val="3A8374FA"/>
    <w:rsid w:val="3A8A3C6B"/>
    <w:rsid w:val="3A944AE9"/>
    <w:rsid w:val="3A9D5280"/>
    <w:rsid w:val="3AA0348E"/>
    <w:rsid w:val="3AA36ADA"/>
    <w:rsid w:val="3AD44EE6"/>
    <w:rsid w:val="3AE55345"/>
    <w:rsid w:val="3AEA4709"/>
    <w:rsid w:val="3B027CA5"/>
    <w:rsid w:val="3B043A1D"/>
    <w:rsid w:val="3B117EE8"/>
    <w:rsid w:val="3B1479D8"/>
    <w:rsid w:val="3B2229C5"/>
    <w:rsid w:val="3B2A0FAA"/>
    <w:rsid w:val="3B4262F3"/>
    <w:rsid w:val="3B451940"/>
    <w:rsid w:val="3B506C62"/>
    <w:rsid w:val="3B573B61"/>
    <w:rsid w:val="3B6B3A9C"/>
    <w:rsid w:val="3B783AC3"/>
    <w:rsid w:val="3B950EA3"/>
    <w:rsid w:val="3B9603ED"/>
    <w:rsid w:val="3B96663F"/>
    <w:rsid w:val="3B9A612F"/>
    <w:rsid w:val="3BA90120"/>
    <w:rsid w:val="3BCB62E9"/>
    <w:rsid w:val="3BD10625"/>
    <w:rsid w:val="3BD422F7"/>
    <w:rsid w:val="3BDF7FE6"/>
    <w:rsid w:val="3BF13876"/>
    <w:rsid w:val="3BF35840"/>
    <w:rsid w:val="3C1934F8"/>
    <w:rsid w:val="3C5E715D"/>
    <w:rsid w:val="3C656155"/>
    <w:rsid w:val="3C683B38"/>
    <w:rsid w:val="3C7F58D0"/>
    <w:rsid w:val="3C8666B4"/>
    <w:rsid w:val="3CA32DC2"/>
    <w:rsid w:val="3CAE5A6F"/>
    <w:rsid w:val="3CD15B81"/>
    <w:rsid w:val="3CF50A39"/>
    <w:rsid w:val="3D07629B"/>
    <w:rsid w:val="3D251504"/>
    <w:rsid w:val="3D3103CE"/>
    <w:rsid w:val="3D762284"/>
    <w:rsid w:val="3D7FA812"/>
    <w:rsid w:val="3D967F69"/>
    <w:rsid w:val="3DAE5EC2"/>
    <w:rsid w:val="3DC456E6"/>
    <w:rsid w:val="3DE844EE"/>
    <w:rsid w:val="3DEC2546"/>
    <w:rsid w:val="3DF53AF1"/>
    <w:rsid w:val="3E175815"/>
    <w:rsid w:val="3E216694"/>
    <w:rsid w:val="3E246184"/>
    <w:rsid w:val="3E40458F"/>
    <w:rsid w:val="3E7F160D"/>
    <w:rsid w:val="3E846C23"/>
    <w:rsid w:val="3E94330A"/>
    <w:rsid w:val="3EA66B99"/>
    <w:rsid w:val="3EA90437"/>
    <w:rsid w:val="3EB07A18"/>
    <w:rsid w:val="3EB7108E"/>
    <w:rsid w:val="3EBE3EE3"/>
    <w:rsid w:val="3EFE0783"/>
    <w:rsid w:val="3F1955BD"/>
    <w:rsid w:val="3F4F7231"/>
    <w:rsid w:val="3F5D7BA0"/>
    <w:rsid w:val="3F620D12"/>
    <w:rsid w:val="3F6251B6"/>
    <w:rsid w:val="3F696545"/>
    <w:rsid w:val="3F6F342F"/>
    <w:rsid w:val="3F9F3D14"/>
    <w:rsid w:val="3FA255B3"/>
    <w:rsid w:val="3FA4132B"/>
    <w:rsid w:val="3FA446DC"/>
    <w:rsid w:val="3FCA68B7"/>
    <w:rsid w:val="3FCE0156"/>
    <w:rsid w:val="3FDD2A8F"/>
    <w:rsid w:val="3FE67580"/>
    <w:rsid w:val="40095632"/>
    <w:rsid w:val="401D2E8B"/>
    <w:rsid w:val="401D732F"/>
    <w:rsid w:val="40385F17"/>
    <w:rsid w:val="403F1053"/>
    <w:rsid w:val="404228F2"/>
    <w:rsid w:val="40442B0E"/>
    <w:rsid w:val="406D3E12"/>
    <w:rsid w:val="40A16AF0"/>
    <w:rsid w:val="40B57568"/>
    <w:rsid w:val="40B7360A"/>
    <w:rsid w:val="40BE641C"/>
    <w:rsid w:val="40C652D1"/>
    <w:rsid w:val="40D21EC7"/>
    <w:rsid w:val="40E65973"/>
    <w:rsid w:val="40EC2575"/>
    <w:rsid w:val="410D2F00"/>
    <w:rsid w:val="411029F0"/>
    <w:rsid w:val="4114428E"/>
    <w:rsid w:val="41173D7E"/>
    <w:rsid w:val="41230975"/>
    <w:rsid w:val="41326E0A"/>
    <w:rsid w:val="41A75102"/>
    <w:rsid w:val="41BA3087"/>
    <w:rsid w:val="41C31810"/>
    <w:rsid w:val="41E2438C"/>
    <w:rsid w:val="42164036"/>
    <w:rsid w:val="424C5CAA"/>
    <w:rsid w:val="424D3EFC"/>
    <w:rsid w:val="427A2817"/>
    <w:rsid w:val="42A11B51"/>
    <w:rsid w:val="42BF022A"/>
    <w:rsid w:val="42FB6DBC"/>
    <w:rsid w:val="43052C44"/>
    <w:rsid w:val="432602A9"/>
    <w:rsid w:val="43284021"/>
    <w:rsid w:val="43364990"/>
    <w:rsid w:val="43454BD3"/>
    <w:rsid w:val="434F15AD"/>
    <w:rsid w:val="438C2802"/>
    <w:rsid w:val="439223D0"/>
    <w:rsid w:val="43B41A68"/>
    <w:rsid w:val="43C750D8"/>
    <w:rsid w:val="43C81360"/>
    <w:rsid w:val="43C95804"/>
    <w:rsid w:val="43E02B4D"/>
    <w:rsid w:val="442567B2"/>
    <w:rsid w:val="444035EC"/>
    <w:rsid w:val="4442268F"/>
    <w:rsid w:val="4464552C"/>
    <w:rsid w:val="44E95A32"/>
    <w:rsid w:val="44F06DC0"/>
    <w:rsid w:val="450665E4"/>
    <w:rsid w:val="45120AE5"/>
    <w:rsid w:val="45156827"/>
    <w:rsid w:val="452D3B70"/>
    <w:rsid w:val="453C7D5E"/>
    <w:rsid w:val="45442C68"/>
    <w:rsid w:val="454A2974"/>
    <w:rsid w:val="4565155C"/>
    <w:rsid w:val="45A55DFD"/>
    <w:rsid w:val="45A8769B"/>
    <w:rsid w:val="45B55914"/>
    <w:rsid w:val="45C049E4"/>
    <w:rsid w:val="45C85647"/>
    <w:rsid w:val="45EB6BFD"/>
    <w:rsid w:val="45F8417E"/>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03505C"/>
    <w:rsid w:val="482374AD"/>
    <w:rsid w:val="482C1071"/>
    <w:rsid w:val="484A4A39"/>
    <w:rsid w:val="487675DC"/>
    <w:rsid w:val="489A151D"/>
    <w:rsid w:val="48C60564"/>
    <w:rsid w:val="48D12A65"/>
    <w:rsid w:val="48DF5182"/>
    <w:rsid w:val="48FC3F85"/>
    <w:rsid w:val="491E34DE"/>
    <w:rsid w:val="4933371F"/>
    <w:rsid w:val="493C25D4"/>
    <w:rsid w:val="499F2B63"/>
    <w:rsid w:val="49AD702E"/>
    <w:rsid w:val="49B52386"/>
    <w:rsid w:val="49E30CA1"/>
    <w:rsid w:val="49E35145"/>
    <w:rsid w:val="4A16536B"/>
    <w:rsid w:val="4A1C23CF"/>
    <w:rsid w:val="4A235542"/>
    <w:rsid w:val="4A895CED"/>
    <w:rsid w:val="4AB12B4E"/>
    <w:rsid w:val="4AB443EC"/>
    <w:rsid w:val="4ACA1E61"/>
    <w:rsid w:val="4B174664"/>
    <w:rsid w:val="4B1F21AD"/>
    <w:rsid w:val="4B871B00"/>
    <w:rsid w:val="4B971D44"/>
    <w:rsid w:val="4B9A1834"/>
    <w:rsid w:val="4BB225EC"/>
    <w:rsid w:val="4BEA27BB"/>
    <w:rsid w:val="4C5679C7"/>
    <w:rsid w:val="4C667968"/>
    <w:rsid w:val="4CCF19B1"/>
    <w:rsid w:val="4CFB4554"/>
    <w:rsid w:val="4D127A09"/>
    <w:rsid w:val="4D27359B"/>
    <w:rsid w:val="4D3A32CE"/>
    <w:rsid w:val="4D565C2E"/>
    <w:rsid w:val="4D7D31BB"/>
    <w:rsid w:val="4D862070"/>
    <w:rsid w:val="4D9A3D6D"/>
    <w:rsid w:val="4DC162E8"/>
    <w:rsid w:val="4DC86B2C"/>
    <w:rsid w:val="4DF3347D"/>
    <w:rsid w:val="4E092CA1"/>
    <w:rsid w:val="4E0B4C6B"/>
    <w:rsid w:val="4E1458CD"/>
    <w:rsid w:val="4E306C2F"/>
    <w:rsid w:val="4E41243B"/>
    <w:rsid w:val="4E4E1750"/>
    <w:rsid w:val="4E6F51FA"/>
    <w:rsid w:val="4E77070B"/>
    <w:rsid w:val="4E8E1CF4"/>
    <w:rsid w:val="4EA50C1B"/>
    <w:rsid w:val="4EC45284"/>
    <w:rsid w:val="4F005E52"/>
    <w:rsid w:val="4F02606E"/>
    <w:rsid w:val="4F052E3E"/>
    <w:rsid w:val="4F2935FA"/>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D049E"/>
    <w:rsid w:val="50BE0714"/>
    <w:rsid w:val="50D41344"/>
    <w:rsid w:val="50E023DF"/>
    <w:rsid w:val="512652E1"/>
    <w:rsid w:val="512978E2"/>
    <w:rsid w:val="512A3758"/>
    <w:rsid w:val="5146724D"/>
    <w:rsid w:val="514B6E1C"/>
    <w:rsid w:val="51581F75"/>
    <w:rsid w:val="516923D4"/>
    <w:rsid w:val="516E3547"/>
    <w:rsid w:val="518A0CE8"/>
    <w:rsid w:val="519C2235"/>
    <w:rsid w:val="51A46F68"/>
    <w:rsid w:val="520143BB"/>
    <w:rsid w:val="520E6AD8"/>
    <w:rsid w:val="5225548F"/>
    <w:rsid w:val="52524C16"/>
    <w:rsid w:val="52564A1E"/>
    <w:rsid w:val="52657A18"/>
    <w:rsid w:val="52662470"/>
    <w:rsid w:val="52742DDF"/>
    <w:rsid w:val="53191BD8"/>
    <w:rsid w:val="53192C95"/>
    <w:rsid w:val="531B3DD9"/>
    <w:rsid w:val="531B76FE"/>
    <w:rsid w:val="53204D14"/>
    <w:rsid w:val="53487DC7"/>
    <w:rsid w:val="535E0443"/>
    <w:rsid w:val="53764934"/>
    <w:rsid w:val="537D3F15"/>
    <w:rsid w:val="538A3F08"/>
    <w:rsid w:val="538A6632"/>
    <w:rsid w:val="53C102A5"/>
    <w:rsid w:val="53CA4C80"/>
    <w:rsid w:val="53D37FD9"/>
    <w:rsid w:val="53F561A1"/>
    <w:rsid w:val="54120B01"/>
    <w:rsid w:val="54210D44"/>
    <w:rsid w:val="542919A7"/>
    <w:rsid w:val="543640C4"/>
    <w:rsid w:val="54442C85"/>
    <w:rsid w:val="546F090B"/>
    <w:rsid w:val="54817A35"/>
    <w:rsid w:val="5486329D"/>
    <w:rsid w:val="548B08B3"/>
    <w:rsid w:val="54907C78"/>
    <w:rsid w:val="549534E0"/>
    <w:rsid w:val="549B6783"/>
    <w:rsid w:val="54C11331"/>
    <w:rsid w:val="54C31DFB"/>
    <w:rsid w:val="54C32D8B"/>
    <w:rsid w:val="54CA318A"/>
    <w:rsid w:val="54CD67D6"/>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8F7F2F"/>
    <w:rsid w:val="55A559A5"/>
    <w:rsid w:val="55C750C7"/>
    <w:rsid w:val="55CE0A58"/>
    <w:rsid w:val="56424FA2"/>
    <w:rsid w:val="564451BE"/>
    <w:rsid w:val="56544185"/>
    <w:rsid w:val="56DC0F52"/>
    <w:rsid w:val="56E878F7"/>
    <w:rsid w:val="570D4513"/>
    <w:rsid w:val="570D55B0"/>
    <w:rsid w:val="572D17AE"/>
    <w:rsid w:val="574F3E1A"/>
    <w:rsid w:val="57527466"/>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CB5722"/>
    <w:rsid w:val="58DA7713"/>
    <w:rsid w:val="58FC58DC"/>
    <w:rsid w:val="59091DA7"/>
    <w:rsid w:val="59097FF9"/>
    <w:rsid w:val="59101387"/>
    <w:rsid w:val="591E3AA4"/>
    <w:rsid w:val="592F5CB1"/>
    <w:rsid w:val="593B28A8"/>
    <w:rsid w:val="593D50A4"/>
    <w:rsid w:val="594F3C5E"/>
    <w:rsid w:val="595E0345"/>
    <w:rsid w:val="596D67DA"/>
    <w:rsid w:val="597B0EF6"/>
    <w:rsid w:val="597E09E7"/>
    <w:rsid w:val="59822285"/>
    <w:rsid w:val="5987789B"/>
    <w:rsid w:val="598D29D8"/>
    <w:rsid w:val="5A04713E"/>
    <w:rsid w:val="5A0C1B4F"/>
    <w:rsid w:val="5A655703"/>
    <w:rsid w:val="5A6C10C4"/>
    <w:rsid w:val="5A9D6C4B"/>
    <w:rsid w:val="5AA771F9"/>
    <w:rsid w:val="5AEE394A"/>
    <w:rsid w:val="5B0B62AA"/>
    <w:rsid w:val="5B116D11"/>
    <w:rsid w:val="5B307ABF"/>
    <w:rsid w:val="5B445318"/>
    <w:rsid w:val="5B490B80"/>
    <w:rsid w:val="5B4D0671"/>
    <w:rsid w:val="5B6269C4"/>
    <w:rsid w:val="5B667984"/>
    <w:rsid w:val="5B7200D7"/>
    <w:rsid w:val="5B7C71A8"/>
    <w:rsid w:val="5B8F2A37"/>
    <w:rsid w:val="5B955468"/>
    <w:rsid w:val="5B960658"/>
    <w:rsid w:val="5B975D90"/>
    <w:rsid w:val="5BA63DBB"/>
    <w:rsid w:val="5BAF30D9"/>
    <w:rsid w:val="5BB82598"/>
    <w:rsid w:val="5BD13050"/>
    <w:rsid w:val="5BDB5C7C"/>
    <w:rsid w:val="5BF78237"/>
    <w:rsid w:val="5C060210"/>
    <w:rsid w:val="5C190553"/>
    <w:rsid w:val="5C255DBF"/>
    <w:rsid w:val="5C3B496D"/>
    <w:rsid w:val="5C46319A"/>
    <w:rsid w:val="5C64511C"/>
    <w:rsid w:val="5C6A7000"/>
    <w:rsid w:val="5C712EAE"/>
    <w:rsid w:val="5CB14C2F"/>
    <w:rsid w:val="5CB20ECB"/>
    <w:rsid w:val="5CC26E3C"/>
    <w:rsid w:val="5CC6692D"/>
    <w:rsid w:val="5CD56B70"/>
    <w:rsid w:val="5CDA79DE"/>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AADD1D"/>
    <w:rsid w:val="5FB92779"/>
    <w:rsid w:val="5FCF5AF8"/>
    <w:rsid w:val="5FCF78A6"/>
    <w:rsid w:val="5FD41360"/>
    <w:rsid w:val="5FFE018B"/>
    <w:rsid w:val="600F3F91"/>
    <w:rsid w:val="6013374F"/>
    <w:rsid w:val="60275934"/>
    <w:rsid w:val="602F2A3B"/>
    <w:rsid w:val="60402693"/>
    <w:rsid w:val="604D613B"/>
    <w:rsid w:val="606F2E37"/>
    <w:rsid w:val="607D37A6"/>
    <w:rsid w:val="60881E72"/>
    <w:rsid w:val="60996106"/>
    <w:rsid w:val="60A3102B"/>
    <w:rsid w:val="60A725D1"/>
    <w:rsid w:val="60B371C8"/>
    <w:rsid w:val="60B44CEE"/>
    <w:rsid w:val="60B8658C"/>
    <w:rsid w:val="61161505"/>
    <w:rsid w:val="61165BEF"/>
    <w:rsid w:val="6138147B"/>
    <w:rsid w:val="6177262F"/>
    <w:rsid w:val="6189617B"/>
    <w:rsid w:val="61B30334"/>
    <w:rsid w:val="61BC02FE"/>
    <w:rsid w:val="61C827FF"/>
    <w:rsid w:val="61DF5D9B"/>
    <w:rsid w:val="61E9771C"/>
    <w:rsid w:val="61F017BB"/>
    <w:rsid w:val="61FA2BD4"/>
    <w:rsid w:val="621657FA"/>
    <w:rsid w:val="62195750"/>
    <w:rsid w:val="624502F4"/>
    <w:rsid w:val="62456545"/>
    <w:rsid w:val="62516C98"/>
    <w:rsid w:val="62650996"/>
    <w:rsid w:val="62682234"/>
    <w:rsid w:val="628250A4"/>
    <w:rsid w:val="62854B94"/>
    <w:rsid w:val="62A74555"/>
    <w:rsid w:val="62B2525D"/>
    <w:rsid w:val="62C31218"/>
    <w:rsid w:val="62FF4946"/>
    <w:rsid w:val="630A6E47"/>
    <w:rsid w:val="631A352E"/>
    <w:rsid w:val="631B72A6"/>
    <w:rsid w:val="63220635"/>
    <w:rsid w:val="63312626"/>
    <w:rsid w:val="633B2B4F"/>
    <w:rsid w:val="63482F32"/>
    <w:rsid w:val="634B7B8C"/>
    <w:rsid w:val="635051A2"/>
    <w:rsid w:val="63536950"/>
    <w:rsid w:val="637F1B3E"/>
    <w:rsid w:val="63A454EE"/>
    <w:rsid w:val="63C94F54"/>
    <w:rsid w:val="63CE60C7"/>
    <w:rsid w:val="63DE25DA"/>
    <w:rsid w:val="63E63410"/>
    <w:rsid w:val="640E6091"/>
    <w:rsid w:val="6424218B"/>
    <w:rsid w:val="64250B7E"/>
    <w:rsid w:val="64354398"/>
    <w:rsid w:val="645C1924"/>
    <w:rsid w:val="64682077"/>
    <w:rsid w:val="64CF20F6"/>
    <w:rsid w:val="64DD5FF8"/>
    <w:rsid w:val="65176FDD"/>
    <w:rsid w:val="65222B6E"/>
    <w:rsid w:val="655B1BDC"/>
    <w:rsid w:val="65BF7590"/>
    <w:rsid w:val="65C55FDD"/>
    <w:rsid w:val="65C854C3"/>
    <w:rsid w:val="65C92FEA"/>
    <w:rsid w:val="6603474E"/>
    <w:rsid w:val="661701F9"/>
    <w:rsid w:val="6635242D"/>
    <w:rsid w:val="66391F1D"/>
    <w:rsid w:val="664408C2"/>
    <w:rsid w:val="664F1741"/>
    <w:rsid w:val="665E7BD6"/>
    <w:rsid w:val="66772A46"/>
    <w:rsid w:val="6692162D"/>
    <w:rsid w:val="66967370"/>
    <w:rsid w:val="66A575B3"/>
    <w:rsid w:val="66B617C0"/>
    <w:rsid w:val="66EA1469"/>
    <w:rsid w:val="66F145A6"/>
    <w:rsid w:val="672A7AB8"/>
    <w:rsid w:val="673B3A73"/>
    <w:rsid w:val="67413301"/>
    <w:rsid w:val="67580AC9"/>
    <w:rsid w:val="676F5BB2"/>
    <w:rsid w:val="67B35CFF"/>
    <w:rsid w:val="67CD5013"/>
    <w:rsid w:val="67D143D7"/>
    <w:rsid w:val="67D85766"/>
    <w:rsid w:val="67E81E4D"/>
    <w:rsid w:val="67F7247D"/>
    <w:rsid w:val="68106265"/>
    <w:rsid w:val="68150768"/>
    <w:rsid w:val="681F15E7"/>
    <w:rsid w:val="6836072C"/>
    <w:rsid w:val="68394E57"/>
    <w:rsid w:val="68437083"/>
    <w:rsid w:val="68662B67"/>
    <w:rsid w:val="686B65DA"/>
    <w:rsid w:val="687F3E33"/>
    <w:rsid w:val="689E075E"/>
    <w:rsid w:val="68AA5354"/>
    <w:rsid w:val="68B27D65"/>
    <w:rsid w:val="68D91796"/>
    <w:rsid w:val="68DC1286"/>
    <w:rsid w:val="68E97320"/>
    <w:rsid w:val="68ED5241"/>
    <w:rsid w:val="690507DD"/>
    <w:rsid w:val="691D5D30"/>
    <w:rsid w:val="691E53FA"/>
    <w:rsid w:val="69243378"/>
    <w:rsid w:val="693F00B7"/>
    <w:rsid w:val="694110E9"/>
    <w:rsid w:val="6958090C"/>
    <w:rsid w:val="69A422AA"/>
    <w:rsid w:val="69C9180A"/>
    <w:rsid w:val="69EE6CD8"/>
    <w:rsid w:val="69F61ED3"/>
    <w:rsid w:val="69F745C9"/>
    <w:rsid w:val="69F866F7"/>
    <w:rsid w:val="69FC1BE0"/>
    <w:rsid w:val="6A3A6264"/>
    <w:rsid w:val="6A4E3ABD"/>
    <w:rsid w:val="6A537326"/>
    <w:rsid w:val="6A554E4C"/>
    <w:rsid w:val="6A7278A8"/>
    <w:rsid w:val="6A7E25F5"/>
    <w:rsid w:val="6AAB0F10"/>
    <w:rsid w:val="6ACE6D96"/>
    <w:rsid w:val="6AD06BC8"/>
    <w:rsid w:val="6AED777A"/>
    <w:rsid w:val="6B1D005F"/>
    <w:rsid w:val="6B256F14"/>
    <w:rsid w:val="6B421874"/>
    <w:rsid w:val="6B5D4897"/>
    <w:rsid w:val="6B7B4D86"/>
    <w:rsid w:val="6B8F0831"/>
    <w:rsid w:val="6B8F25DF"/>
    <w:rsid w:val="6BAD1792"/>
    <w:rsid w:val="6BAE6F0A"/>
    <w:rsid w:val="6BB43DF4"/>
    <w:rsid w:val="6BC77FCB"/>
    <w:rsid w:val="6BD7855D"/>
    <w:rsid w:val="6BD85D34"/>
    <w:rsid w:val="6BD91AAD"/>
    <w:rsid w:val="6BD9385B"/>
    <w:rsid w:val="6BF54B38"/>
    <w:rsid w:val="6C021003"/>
    <w:rsid w:val="6C092392"/>
    <w:rsid w:val="6C164AAF"/>
    <w:rsid w:val="6C1D7BEB"/>
    <w:rsid w:val="6C467142"/>
    <w:rsid w:val="6CA62848"/>
    <w:rsid w:val="6CF05300"/>
    <w:rsid w:val="6CFA1CDB"/>
    <w:rsid w:val="6D0254A0"/>
    <w:rsid w:val="6D2F7BD6"/>
    <w:rsid w:val="6D45659F"/>
    <w:rsid w:val="6D505D9E"/>
    <w:rsid w:val="6D6E405D"/>
    <w:rsid w:val="6D856BEB"/>
    <w:rsid w:val="6D9E4D5C"/>
    <w:rsid w:val="6DA265FA"/>
    <w:rsid w:val="6DB4457F"/>
    <w:rsid w:val="6DC10AB2"/>
    <w:rsid w:val="6DD644F6"/>
    <w:rsid w:val="6DEB6263"/>
    <w:rsid w:val="6DFB84CA"/>
    <w:rsid w:val="6E0472B5"/>
    <w:rsid w:val="6E0948CB"/>
    <w:rsid w:val="6E14501E"/>
    <w:rsid w:val="6E2E60E0"/>
    <w:rsid w:val="6E3A138D"/>
    <w:rsid w:val="6E3A4A84"/>
    <w:rsid w:val="6E3D4575"/>
    <w:rsid w:val="6E5D0773"/>
    <w:rsid w:val="6E6C6C08"/>
    <w:rsid w:val="6E8B52E0"/>
    <w:rsid w:val="6E9D5013"/>
    <w:rsid w:val="6EB1286D"/>
    <w:rsid w:val="6EDD1C2D"/>
    <w:rsid w:val="6EE82732"/>
    <w:rsid w:val="6EF70BC7"/>
    <w:rsid w:val="6EF73831"/>
    <w:rsid w:val="6F0230C8"/>
    <w:rsid w:val="6F101C89"/>
    <w:rsid w:val="6F12155D"/>
    <w:rsid w:val="6F4162E7"/>
    <w:rsid w:val="6F775864"/>
    <w:rsid w:val="6F96218E"/>
    <w:rsid w:val="6F9C351D"/>
    <w:rsid w:val="6FA06B69"/>
    <w:rsid w:val="703D6AAE"/>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965566"/>
    <w:rsid w:val="71AB5C99"/>
    <w:rsid w:val="71B7463E"/>
    <w:rsid w:val="71B96608"/>
    <w:rsid w:val="71BB412E"/>
    <w:rsid w:val="71CC00E9"/>
    <w:rsid w:val="71DC40A5"/>
    <w:rsid w:val="71E03B95"/>
    <w:rsid w:val="72575AC4"/>
    <w:rsid w:val="72693B8A"/>
    <w:rsid w:val="727D7636"/>
    <w:rsid w:val="72A20E4A"/>
    <w:rsid w:val="72C2329A"/>
    <w:rsid w:val="72CC236B"/>
    <w:rsid w:val="72CE7E91"/>
    <w:rsid w:val="72D134DE"/>
    <w:rsid w:val="72E15E16"/>
    <w:rsid w:val="73010267"/>
    <w:rsid w:val="7309711B"/>
    <w:rsid w:val="736E51D0"/>
    <w:rsid w:val="739F3D64"/>
    <w:rsid w:val="73B13A3B"/>
    <w:rsid w:val="73BCEE9C"/>
    <w:rsid w:val="73BE1CB4"/>
    <w:rsid w:val="73BE7F06"/>
    <w:rsid w:val="73C073AB"/>
    <w:rsid w:val="73CA68AB"/>
    <w:rsid w:val="73F2195D"/>
    <w:rsid w:val="73FE0302"/>
    <w:rsid w:val="74096F68"/>
    <w:rsid w:val="741D2E7E"/>
    <w:rsid w:val="742F2BB2"/>
    <w:rsid w:val="742F6E4E"/>
    <w:rsid w:val="744321B9"/>
    <w:rsid w:val="74455F31"/>
    <w:rsid w:val="74784559"/>
    <w:rsid w:val="747F58E7"/>
    <w:rsid w:val="74827185"/>
    <w:rsid w:val="748702F8"/>
    <w:rsid w:val="7491561A"/>
    <w:rsid w:val="74C7103C"/>
    <w:rsid w:val="74D64FF1"/>
    <w:rsid w:val="74E53270"/>
    <w:rsid w:val="74EE0377"/>
    <w:rsid w:val="74FB0668"/>
    <w:rsid w:val="75023E22"/>
    <w:rsid w:val="75327854"/>
    <w:rsid w:val="75354538"/>
    <w:rsid w:val="755F3023"/>
    <w:rsid w:val="75662603"/>
    <w:rsid w:val="75720FA8"/>
    <w:rsid w:val="75874327"/>
    <w:rsid w:val="7589009F"/>
    <w:rsid w:val="758E3908"/>
    <w:rsid w:val="75B13BF6"/>
    <w:rsid w:val="75C13CDD"/>
    <w:rsid w:val="761D5D05"/>
    <w:rsid w:val="762229CE"/>
    <w:rsid w:val="7625601A"/>
    <w:rsid w:val="76262854"/>
    <w:rsid w:val="763C2037"/>
    <w:rsid w:val="76465F91"/>
    <w:rsid w:val="764B35A7"/>
    <w:rsid w:val="764D12E6"/>
    <w:rsid w:val="76662778"/>
    <w:rsid w:val="76746FA2"/>
    <w:rsid w:val="76984A3E"/>
    <w:rsid w:val="774249AA"/>
    <w:rsid w:val="775546DD"/>
    <w:rsid w:val="777C610E"/>
    <w:rsid w:val="778D20C9"/>
    <w:rsid w:val="77CD37FD"/>
    <w:rsid w:val="78482494"/>
    <w:rsid w:val="789F15CA"/>
    <w:rsid w:val="78A82F32"/>
    <w:rsid w:val="78C064CE"/>
    <w:rsid w:val="78C833A6"/>
    <w:rsid w:val="78D14237"/>
    <w:rsid w:val="78D53D09"/>
    <w:rsid w:val="78D930EC"/>
    <w:rsid w:val="78E81581"/>
    <w:rsid w:val="78F023DA"/>
    <w:rsid w:val="79102FB2"/>
    <w:rsid w:val="791365FE"/>
    <w:rsid w:val="79164340"/>
    <w:rsid w:val="793B3DA7"/>
    <w:rsid w:val="79620C71"/>
    <w:rsid w:val="797C23F5"/>
    <w:rsid w:val="798B2638"/>
    <w:rsid w:val="79A656C4"/>
    <w:rsid w:val="79AC0800"/>
    <w:rsid w:val="79BC08F6"/>
    <w:rsid w:val="79C478F8"/>
    <w:rsid w:val="79C7798C"/>
    <w:rsid w:val="7A04063C"/>
    <w:rsid w:val="7A100D8F"/>
    <w:rsid w:val="7A120583"/>
    <w:rsid w:val="7A2B5BC9"/>
    <w:rsid w:val="7A3F3423"/>
    <w:rsid w:val="7A434CC1"/>
    <w:rsid w:val="7A755AD7"/>
    <w:rsid w:val="7A7C4677"/>
    <w:rsid w:val="7A7C6425"/>
    <w:rsid w:val="7A992B33"/>
    <w:rsid w:val="7AC5601E"/>
    <w:rsid w:val="7AC758F2"/>
    <w:rsid w:val="7AE77D42"/>
    <w:rsid w:val="7AF83CFD"/>
    <w:rsid w:val="7AFB6916"/>
    <w:rsid w:val="7B020075"/>
    <w:rsid w:val="7B297096"/>
    <w:rsid w:val="7B2E771F"/>
    <w:rsid w:val="7B3B18C8"/>
    <w:rsid w:val="7B58479C"/>
    <w:rsid w:val="7B6273C9"/>
    <w:rsid w:val="7B6475E5"/>
    <w:rsid w:val="7B694BFB"/>
    <w:rsid w:val="7B845591"/>
    <w:rsid w:val="7B906335"/>
    <w:rsid w:val="7B9A314D"/>
    <w:rsid w:val="7BBF0CBF"/>
    <w:rsid w:val="7BD209F2"/>
    <w:rsid w:val="7BFD63D5"/>
    <w:rsid w:val="7C014E34"/>
    <w:rsid w:val="7C233AC6"/>
    <w:rsid w:val="7C5807CC"/>
    <w:rsid w:val="7C7A6994"/>
    <w:rsid w:val="7CA84A69"/>
    <w:rsid w:val="7CB65657"/>
    <w:rsid w:val="7CBE4AD3"/>
    <w:rsid w:val="7CD10A13"/>
    <w:rsid w:val="7CD95DB0"/>
    <w:rsid w:val="7CF16C56"/>
    <w:rsid w:val="7CF93D5D"/>
    <w:rsid w:val="7CFE5817"/>
    <w:rsid w:val="7D006E99"/>
    <w:rsid w:val="7D1D4E05"/>
    <w:rsid w:val="7D2A2168"/>
    <w:rsid w:val="7D2D1C58"/>
    <w:rsid w:val="7D322509"/>
    <w:rsid w:val="7D891584"/>
    <w:rsid w:val="7D9615AC"/>
    <w:rsid w:val="7D9817C8"/>
    <w:rsid w:val="7DB3F9A9"/>
    <w:rsid w:val="7DBB21CA"/>
    <w:rsid w:val="7E0155BF"/>
    <w:rsid w:val="7E176B90"/>
    <w:rsid w:val="7E551467"/>
    <w:rsid w:val="7E633B84"/>
    <w:rsid w:val="7E9006F1"/>
    <w:rsid w:val="7E955D07"/>
    <w:rsid w:val="7EA61CC2"/>
    <w:rsid w:val="7EF26089"/>
    <w:rsid w:val="7EF743D8"/>
    <w:rsid w:val="7F0B7D77"/>
    <w:rsid w:val="7F0D1D41"/>
    <w:rsid w:val="7F157099"/>
    <w:rsid w:val="7F536173"/>
    <w:rsid w:val="7F6F0306"/>
    <w:rsid w:val="7F912972"/>
    <w:rsid w:val="7F9B559F"/>
    <w:rsid w:val="7FA9100F"/>
    <w:rsid w:val="7FB65F35"/>
    <w:rsid w:val="7FC20D7E"/>
    <w:rsid w:val="7FFF168A"/>
    <w:rsid w:val="7FFFC137"/>
    <w:rsid w:val="7FFFEC33"/>
    <w:rsid w:val="AFE7B810"/>
    <w:rsid w:val="BEFE7877"/>
    <w:rsid w:val="DBFBA4F8"/>
    <w:rsid w:val="EEFF050C"/>
    <w:rsid w:val="F4F68B5D"/>
    <w:rsid w:val="FFBFB29D"/>
    <w:rsid w:val="FFF8FA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4"/>
    <w:next w:val="1"/>
    <w:link w:val="31"/>
    <w:qFormat/>
    <w:uiPriority w:val="0"/>
    <w:pPr>
      <w:spacing w:before="0" w:after="0" w:line="480" w:lineRule="auto"/>
      <w:outlineLvl w:val="0"/>
    </w:pPr>
    <w:rPr>
      <w:rFonts w:asciiTheme="minorEastAsia" w:hAnsiTheme="minorEastAsia" w:eastAsiaTheme="minorEastAsia"/>
      <w:sz w:val="28"/>
      <w:szCs w:val="28"/>
    </w:rPr>
  </w:style>
  <w:style w:type="paragraph" w:styleId="4">
    <w:name w:val="heading 2"/>
    <w:basedOn w:val="1"/>
    <w:next w:val="1"/>
    <w:link w:val="30"/>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40"/>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29"/>
    <w:unhideWhenUsed/>
    <w:qFormat/>
    <w:uiPriority w:val="9"/>
    <w:pPr>
      <w:keepNext/>
      <w:keepLines/>
      <w:spacing w:before="280" w:after="290" w:line="376" w:lineRule="auto"/>
      <w:outlineLvl w:val="3"/>
    </w:pPr>
    <w:rPr>
      <w:rFonts w:ascii="Cambria" w:hAnsi="Cambria"/>
      <w:b/>
      <w:bCs/>
      <w:sz w:val="28"/>
      <w:szCs w:val="28"/>
    </w:rPr>
  </w:style>
  <w:style w:type="paragraph" w:styleId="7">
    <w:name w:val="heading 5"/>
    <w:basedOn w:val="1"/>
    <w:next w:val="1"/>
    <w:link w:val="28"/>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8"/>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2"/>
    <w:qFormat/>
    <w:uiPriority w:val="0"/>
    <w:rPr>
      <w:rFonts w:ascii="宋体" w:hAnsi="Courier New" w:cs="Courier New"/>
      <w:szCs w:val="21"/>
    </w:rPr>
  </w:style>
  <w:style w:type="paragraph" w:styleId="13">
    <w:name w:val="Balloon Text"/>
    <w:basedOn w:val="1"/>
    <w:link w:val="44"/>
    <w:unhideWhenUsed/>
    <w:qFormat/>
    <w:uiPriority w:val="0"/>
    <w:rPr>
      <w:sz w:val="18"/>
      <w:szCs w:val="18"/>
    </w:rPr>
  </w:style>
  <w:style w:type="paragraph" w:styleId="14">
    <w:name w:val="footer"/>
    <w:basedOn w:val="1"/>
    <w:link w:val="33"/>
    <w:unhideWhenUsed/>
    <w:qFormat/>
    <w:uiPriority w:val="99"/>
    <w:pPr>
      <w:tabs>
        <w:tab w:val="center" w:pos="4153"/>
        <w:tab w:val="right" w:pos="8306"/>
      </w:tabs>
      <w:snapToGrid w:val="0"/>
      <w:jc w:val="left"/>
    </w:pPr>
    <w:rPr>
      <w:sz w:val="18"/>
      <w:szCs w:val="18"/>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9">
    <w:name w:val="Body Text First Indent 2"/>
    <w:basedOn w:val="11"/>
    <w:unhideWhenUsed/>
    <w:qFormat/>
    <w:uiPriority w:val="99"/>
    <w:pPr>
      <w:adjustRightInd/>
      <w:spacing w:line="240" w:lineRule="auto"/>
      <w:ind w:firstLine="420" w:firstLineChars="200"/>
      <w:jc w:val="both"/>
    </w:pPr>
    <w:rPr>
      <w:kern w:val="2"/>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page number"/>
    <w:qFormat/>
    <w:uiPriority w:val="0"/>
  </w:style>
  <w:style w:type="character" w:styleId="25">
    <w:name w:val="Hyperlink"/>
    <w:basedOn w:val="22"/>
    <w:unhideWhenUsed/>
    <w:qFormat/>
    <w:uiPriority w:val="99"/>
    <w:rPr>
      <w:color w:val="0000FF" w:themeColor="hyperlink"/>
      <w:u w:val="single"/>
      <w14:textFill>
        <w14:solidFill>
          <w14:schemeClr w14:val="hlink"/>
        </w14:solidFill>
      </w14:textFill>
    </w:rPr>
  </w:style>
  <w:style w:type="paragraph" w:customStyle="1" w:styleId="26">
    <w:name w:val="WW-普通文字"/>
    <w:basedOn w:val="1"/>
    <w:qFormat/>
    <w:uiPriority w:val="0"/>
    <w:pPr>
      <w:suppressAutoHyphens/>
      <w:spacing w:line="290" w:lineRule="auto"/>
    </w:pPr>
    <w:rPr>
      <w:rFonts w:ascii="Courier New" w:hAnsi="Courier New"/>
      <w:kern w:val="1"/>
      <w:szCs w:val="20"/>
    </w:rPr>
  </w:style>
  <w:style w:type="paragraph" w:customStyle="1" w:styleId="27">
    <w:name w:val="列出段落1"/>
    <w:basedOn w:val="1"/>
    <w:qFormat/>
    <w:uiPriority w:val="34"/>
    <w:pPr>
      <w:ind w:firstLine="420" w:firstLineChars="200"/>
    </w:pPr>
  </w:style>
  <w:style w:type="character" w:customStyle="1" w:styleId="28">
    <w:name w:val="标题 5 字符"/>
    <w:basedOn w:val="22"/>
    <w:link w:val="7"/>
    <w:qFormat/>
    <w:uiPriority w:val="9"/>
    <w:rPr>
      <w:rFonts w:ascii="Tahoma" w:hAnsi="Tahoma" w:eastAsia="微软雅黑" w:cs="Times New Roman"/>
      <w:b/>
      <w:bCs/>
      <w:kern w:val="0"/>
      <w:sz w:val="28"/>
      <w:szCs w:val="28"/>
    </w:rPr>
  </w:style>
  <w:style w:type="character" w:customStyle="1" w:styleId="29">
    <w:name w:val="标题 4 字符"/>
    <w:basedOn w:val="22"/>
    <w:link w:val="6"/>
    <w:semiHidden/>
    <w:qFormat/>
    <w:uiPriority w:val="9"/>
    <w:rPr>
      <w:rFonts w:ascii="Cambria" w:hAnsi="Cambria" w:eastAsia="宋体"/>
      <w:b/>
      <w:bCs/>
      <w:sz w:val="28"/>
      <w:szCs w:val="28"/>
    </w:rPr>
  </w:style>
  <w:style w:type="character" w:customStyle="1" w:styleId="30">
    <w:name w:val="标题 2 字符"/>
    <w:basedOn w:val="22"/>
    <w:link w:val="4"/>
    <w:qFormat/>
    <w:uiPriority w:val="0"/>
    <w:rPr>
      <w:rFonts w:ascii="Cambria" w:hAnsi="Cambria" w:eastAsia="宋体" w:cs="Times New Roman"/>
      <w:b/>
      <w:bCs/>
      <w:sz w:val="32"/>
      <w:szCs w:val="32"/>
    </w:rPr>
  </w:style>
  <w:style w:type="character" w:customStyle="1" w:styleId="31">
    <w:name w:val="标题 1 字符"/>
    <w:basedOn w:val="22"/>
    <w:link w:val="3"/>
    <w:qFormat/>
    <w:uiPriority w:val="0"/>
    <w:rPr>
      <w:rFonts w:asciiTheme="minorEastAsia" w:hAnsiTheme="minorEastAsia" w:eastAsiaTheme="minorEastAsia"/>
      <w:b/>
      <w:bCs/>
      <w:kern w:val="2"/>
      <w:sz w:val="28"/>
      <w:szCs w:val="28"/>
    </w:rPr>
  </w:style>
  <w:style w:type="character" w:customStyle="1" w:styleId="32">
    <w:name w:val="页眉 字符"/>
    <w:basedOn w:val="22"/>
    <w:link w:val="15"/>
    <w:semiHidden/>
    <w:qFormat/>
    <w:uiPriority w:val="99"/>
    <w:rPr>
      <w:sz w:val="18"/>
      <w:szCs w:val="18"/>
    </w:rPr>
  </w:style>
  <w:style w:type="character" w:customStyle="1" w:styleId="33">
    <w:name w:val="页脚 字符"/>
    <w:basedOn w:val="22"/>
    <w:link w:val="14"/>
    <w:qFormat/>
    <w:uiPriority w:val="99"/>
    <w:rPr>
      <w:sz w:val="18"/>
      <w:szCs w:val="18"/>
    </w:rPr>
  </w:style>
  <w:style w:type="paragraph" w:customStyle="1" w:styleId="34">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5">
    <w:name w:val="正文格式"/>
    <w:basedOn w:val="1"/>
    <w:link w:val="36"/>
    <w:qFormat/>
    <w:uiPriority w:val="0"/>
    <w:pPr>
      <w:topLinePunct/>
      <w:ind w:firstLine="420" w:firstLineChars="200"/>
    </w:pPr>
    <w:rPr>
      <w:rFonts w:ascii="宋体" w:hAnsi="宋体"/>
      <w:bCs/>
      <w:kern w:val="0"/>
      <w:sz w:val="20"/>
      <w:szCs w:val="21"/>
    </w:rPr>
  </w:style>
  <w:style w:type="character" w:customStyle="1" w:styleId="36">
    <w:name w:val="正文格式 Char"/>
    <w:link w:val="35"/>
    <w:qFormat/>
    <w:uiPriority w:val="0"/>
    <w:rPr>
      <w:rFonts w:ascii="宋体" w:hAnsi="宋体"/>
      <w:bCs/>
      <w:szCs w:val="21"/>
    </w:rPr>
  </w:style>
  <w:style w:type="paragraph" w:customStyle="1" w:styleId="37">
    <w:name w:val="段"/>
    <w:qFormat/>
    <w:uiPriority w:val="0"/>
    <w:pPr>
      <w:jc w:val="center"/>
      <w:outlineLvl w:val="3"/>
    </w:pPr>
    <w:rPr>
      <w:rFonts w:ascii="宋体" w:hAnsi="Times New Roman" w:eastAsia="宋体" w:cs="Times New Roman"/>
      <w:sz w:val="21"/>
      <w:lang w:val="en-US" w:eastAsia="zh-CN" w:bidi="ar-SA"/>
    </w:rPr>
  </w:style>
  <w:style w:type="character" w:customStyle="1" w:styleId="38">
    <w:name w:val="首行缩进 Char"/>
    <w:link w:val="39"/>
    <w:qFormat/>
    <w:uiPriority w:val="0"/>
    <w:rPr>
      <w:rFonts w:eastAsia="方正书宋简体" w:cs="宋体"/>
      <w:kern w:val="2"/>
      <w:sz w:val="21"/>
    </w:rPr>
  </w:style>
  <w:style w:type="paragraph" w:customStyle="1" w:styleId="39">
    <w:name w:val="首行缩进"/>
    <w:basedOn w:val="1"/>
    <w:link w:val="38"/>
    <w:qFormat/>
    <w:uiPriority w:val="0"/>
    <w:pPr>
      <w:spacing w:line="300" w:lineRule="auto"/>
      <w:ind w:firstLine="420" w:firstLineChars="200"/>
    </w:pPr>
    <w:rPr>
      <w:rFonts w:ascii="Times New Roman" w:hAnsi="Times New Roman" w:eastAsia="方正书宋简体" w:cs="宋体"/>
      <w:szCs w:val="20"/>
    </w:rPr>
  </w:style>
  <w:style w:type="character" w:customStyle="1" w:styleId="40">
    <w:name w:val="标题 3 字符"/>
    <w:basedOn w:val="22"/>
    <w:link w:val="5"/>
    <w:semiHidden/>
    <w:qFormat/>
    <w:uiPriority w:val="9"/>
    <w:rPr>
      <w:rFonts w:ascii="Calibri" w:hAnsi="Calibri"/>
      <w:b/>
      <w:bCs/>
      <w:kern w:val="2"/>
      <w:sz w:val="32"/>
      <w:szCs w:val="32"/>
    </w:rPr>
  </w:style>
  <w:style w:type="paragraph" w:customStyle="1" w:styleId="41">
    <w:name w:val="列出段落2"/>
    <w:basedOn w:val="1"/>
    <w:qFormat/>
    <w:uiPriority w:val="99"/>
    <w:pPr>
      <w:ind w:firstLine="420" w:firstLineChars="200"/>
    </w:pPr>
  </w:style>
  <w:style w:type="character" w:customStyle="1" w:styleId="42">
    <w:name w:val="纯文本 字符"/>
    <w:link w:val="12"/>
    <w:qFormat/>
    <w:uiPriority w:val="0"/>
    <w:rPr>
      <w:rFonts w:ascii="宋体" w:hAnsi="Courier New" w:cs="Courier New"/>
      <w:kern w:val="2"/>
      <w:sz w:val="21"/>
      <w:szCs w:val="21"/>
    </w:rPr>
  </w:style>
  <w:style w:type="character" w:customStyle="1" w:styleId="43">
    <w:name w:val="纯文本 Char1"/>
    <w:basedOn w:val="22"/>
    <w:semiHidden/>
    <w:qFormat/>
    <w:uiPriority w:val="0"/>
    <w:rPr>
      <w:rFonts w:ascii="宋体" w:hAnsi="Courier New" w:cs="Courier New"/>
      <w:kern w:val="2"/>
      <w:sz w:val="21"/>
      <w:szCs w:val="21"/>
    </w:rPr>
  </w:style>
  <w:style w:type="character" w:customStyle="1" w:styleId="44">
    <w:name w:val="批注框文本 字符"/>
    <w:basedOn w:val="22"/>
    <w:link w:val="13"/>
    <w:semiHidden/>
    <w:qFormat/>
    <w:uiPriority w:val="0"/>
    <w:rPr>
      <w:rFonts w:ascii="Calibri" w:hAnsi="Calibri"/>
      <w:kern w:val="2"/>
      <w:sz w:val="18"/>
      <w:szCs w:val="18"/>
    </w:rPr>
  </w:style>
  <w:style w:type="character" w:customStyle="1" w:styleId="45">
    <w:name w:val="font11"/>
    <w:basedOn w:val="22"/>
    <w:qFormat/>
    <w:uiPriority w:val="0"/>
    <w:rPr>
      <w:rFonts w:hint="eastAsia" w:ascii="宋体" w:hAnsi="宋体" w:eastAsia="宋体" w:cs="宋体"/>
      <w:color w:val="000000"/>
      <w:sz w:val="22"/>
      <w:szCs w:val="22"/>
      <w:u w:val="none"/>
    </w:rPr>
  </w:style>
  <w:style w:type="character" w:customStyle="1" w:styleId="46">
    <w:name w:val="font21"/>
    <w:basedOn w:val="22"/>
    <w:qFormat/>
    <w:uiPriority w:val="0"/>
    <w:rPr>
      <w:rFonts w:hint="default" w:ascii="Times New Roman" w:hAnsi="Times New Roman" w:cs="Times New Roman"/>
      <w:color w:val="000000"/>
      <w:sz w:val="22"/>
      <w:szCs w:val="22"/>
      <w:u w:val="none"/>
    </w:rPr>
  </w:style>
  <w:style w:type="paragraph" w:customStyle="1" w:styleId="47">
    <w:name w:val="修订1"/>
    <w:hidden/>
    <w:semiHidden/>
    <w:qFormat/>
    <w:uiPriority w:val="99"/>
    <w:rPr>
      <w:rFonts w:ascii="Calibri" w:hAnsi="Calibri" w:eastAsia="宋体" w:cs="Times New Roman"/>
      <w:kern w:val="2"/>
      <w:sz w:val="21"/>
      <w:szCs w:val="22"/>
      <w:lang w:val="en-US" w:eastAsia="zh-CN" w:bidi="ar-SA"/>
    </w:rPr>
  </w:style>
  <w:style w:type="character" w:customStyle="1" w:styleId="48">
    <w:name w:val="正文文本 字符"/>
    <w:basedOn w:val="22"/>
    <w:link w:val="9"/>
    <w:semiHidden/>
    <w:qFormat/>
    <w:uiPriority w:val="99"/>
    <w:rPr>
      <w:kern w:val="2"/>
      <w:sz w:val="21"/>
      <w:szCs w:val="24"/>
    </w:rPr>
  </w:style>
  <w:style w:type="paragraph" w:styleId="49">
    <w:name w:val="List Paragraph"/>
    <w:basedOn w:val="1"/>
    <w:qFormat/>
    <w:uiPriority w:val="99"/>
    <w:pPr>
      <w:ind w:firstLine="420" w:firstLineChars="200"/>
    </w:pPr>
  </w:style>
  <w:style w:type="paragraph" w:customStyle="1" w:styleId="50">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38</Pages>
  <Words>4248</Words>
  <Characters>4619</Characters>
  <Lines>130</Lines>
  <Paragraphs>36</Paragraphs>
  <TotalTime>0</TotalTime>
  <ScaleCrop>false</ScaleCrop>
  <LinksUpToDate>false</LinksUpToDate>
  <CharactersWithSpaces>4669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2024-07-04T15:00:00Z</dcterms:created>
  <dc:creator>MSI-NB</dc:creator>
  <cp:lastModifiedBy>俞汶希</cp:lastModifiedBy>
  <dcterms:modified xsi:type="dcterms:W3CDTF">2025-09-29T09:05:42Z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EECC491013CA47DFA1312890CF74A6C2_13</vt:lpwstr>
  </property>
  <property fmtid="{D5CDD505-2E9C-101B-9397-08002B2CF9AE}" pid="4" name="KSOTemplateDocerSaveRecord">
    <vt:lpwstr>eyJoZGlkIjoiMThiN2UwMmJlMzc5OGY0NjA0MTQ2NmNkMmU2ZjYxYWEiLCJ1c2VySWQiOiI1MjUxMTI3NjQifQ==</vt:lpwstr>
  </property>
</Properties>
</file>