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rPr>
          <w:rFonts w:hint="eastAsia" w:ascii="宋体" w:hAnsi="宋体" w:eastAsia="宋体" w:cs="宋体"/>
        </w:rP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lang w:val="en-US" w:eastAsia="zh-CN"/>
        </w:rPr>
      </w:pPr>
      <w:r>
        <w:rPr>
          <w:rFonts w:hint="eastAsia" w:ascii="微软雅黑" w:hAnsi="微软雅黑" w:eastAsia="微软雅黑" w:cs="微软雅黑"/>
          <w:b w:val="0"/>
          <w:bCs/>
          <w:sz w:val="48"/>
          <w:szCs w:val="48"/>
        </w:rPr>
        <w:t>南方电网2025年第二批无人机</w:t>
      </w:r>
      <w:r>
        <w:rPr>
          <w:rFonts w:hint="eastAsia" w:ascii="微软雅黑" w:hAnsi="微软雅黑" w:eastAsia="微软雅黑" w:cs="微软雅黑"/>
          <w:b w:val="0"/>
          <w:bCs/>
          <w:sz w:val="48"/>
          <w:szCs w:val="48"/>
          <w:lang w:val="en-US" w:eastAsia="zh-CN"/>
        </w:rPr>
        <w:t>设备</w:t>
      </w:r>
      <w:r>
        <w:rPr>
          <w:rFonts w:hint="eastAsia" w:ascii="微软雅黑" w:hAnsi="微软雅黑" w:eastAsia="微软雅黑" w:cs="微软雅黑"/>
          <w:b w:val="0"/>
          <w:bCs/>
          <w:sz w:val="48"/>
          <w:szCs w:val="48"/>
        </w:rPr>
        <w:t>及相关附件框架采购</w:t>
      </w:r>
      <w:r>
        <w:rPr>
          <w:rFonts w:hint="eastAsia" w:ascii="微软雅黑" w:hAnsi="微软雅黑" w:eastAsia="微软雅黑" w:cs="微软雅黑"/>
          <w:b w:val="0"/>
          <w:bCs/>
          <w:sz w:val="48"/>
          <w:szCs w:val="48"/>
          <w:lang w:val="en-US" w:eastAsia="zh-CN"/>
        </w:rPr>
        <w:t>项目</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技术条件书</w:t>
      </w:r>
    </w:p>
    <w:p>
      <w:pPr>
        <w:spacing w:line="360" w:lineRule="auto"/>
        <w:jc w:val="center"/>
        <w:rPr>
          <w:rFonts w:hint="eastAsia" w:ascii="宋体" w:hAnsi="宋体" w:eastAsia="宋体" w:cs="宋体"/>
          <w:b/>
          <w:sz w:val="30"/>
          <w:szCs w:val="30"/>
        </w:rPr>
      </w:pPr>
      <w:r>
        <w:rPr>
          <w:rFonts w:hint="eastAsia" w:ascii="微软雅黑" w:hAnsi="微软雅黑" w:eastAsia="微软雅黑" w:cs="微软雅黑"/>
          <w:b w:val="0"/>
          <w:bCs/>
          <w:sz w:val="48"/>
          <w:szCs w:val="48"/>
        </w:rPr>
        <w:t>（无人机配套地面相位扫描装置(地面点云数据采集设备)）</w:t>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pStyle w:val="34"/>
        <w:ind w:firstLine="0" w:firstLineChars="0"/>
        <w:jc w:val="center"/>
        <w:rPr>
          <w:rFonts w:hint="eastAsia" w:ascii="宋体" w:hAnsi="宋体" w:eastAsia="宋体" w:cs="宋体"/>
          <w:sz w:val="36"/>
          <w:szCs w:val="36"/>
        </w:rPr>
      </w:pPr>
    </w:p>
    <w:p>
      <w:pPr>
        <w:pStyle w:val="34"/>
        <w:ind w:firstLine="0" w:firstLineChars="0"/>
        <w:jc w:val="center"/>
        <w:rPr>
          <w:rFonts w:hint="eastAsia" w:ascii="宋体" w:hAnsi="宋体" w:eastAsia="宋体" w:cs="宋体"/>
          <w:sz w:val="36"/>
          <w:szCs w:val="36"/>
        </w:rPr>
      </w:pPr>
    </w:p>
    <w:p>
      <w:pPr>
        <w:pStyle w:val="34"/>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widowControl/>
        <w:jc w:val="center"/>
        <w:rPr>
          <w:rFonts w:hint="eastAsia" w:ascii="宋体" w:hAnsi="宋体" w:eastAsia="宋体" w:cs="宋体"/>
          <w:sz w:val="32"/>
          <w:szCs w:val="32"/>
        </w:rPr>
      </w:pP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16"/>
        <w:tabs>
          <w:tab w:val="right" w:leader="dot" w:pos="8312"/>
        </w:tabs>
        <w:rPr>
          <w:rFonts w:hint="eastAsia" w:ascii="宋体" w:hAnsi="宋体" w:eastAsia="宋体" w:cs="宋体"/>
        </w:rPr>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_Toc9771 </w:instrText>
      </w:r>
      <w:r>
        <w:rPr>
          <w:rFonts w:hint="eastAsia" w:ascii="宋体" w:hAnsi="宋体" w:eastAsia="宋体" w:cs="宋体"/>
          <w:szCs w:val="36"/>
        </w:rPr>
        <w:fldChar w:fldCharType="separate"/>
      </w:r>
      <w:r>
        <w:rPr>
          <w:rFonts w:hint="eastAsia" w:ascii="宋体" w:hAnsi="宋体" w:eastAsia="宋体" w:cs="宋体"/>
        </w:rPr>
        <w:t>1 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_Toc9771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_Toc9389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_Toc9389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_Toc6297 </w:instrText>
      </w:r>
      <w:r>
        <w:rPr>
          <w:rFonts w:hint="eastAsia" w:ascii="宋体" w:hAnsi="宋体" w:eastAsia="宋体" w:cs="宋体"/>
          <w:kern w:val="2"/>
          <w:szCs w:val="36"/>
        </w:rPr>
        <w:fldChar w:fldCharType="separate"/>
      </w:r>
      <w:r>
        <w:rPr>
          <w:rFonts w:hint="eastAsia" w:ascii="宋体" w:hAnsi="宋体" w:eastAsia="宋体" w:cs="宋体"/>
        </w:rPr>
        <w:t>3技术要求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_Toc6297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_Toc9264 </w:instrText>
      </w:r>
      <w:r>
        <w:rPr>
          <w:rFonts w:hint="eastAsia" w:ascii="宋体" w:hAnsi="宋体" w:eastAsia="宋体" w:cs="宋体"/>
          <w:kern w:val="2"/>
          <w:szCs w:val="36"/>
        </w:rPr>
        <w:fldChar w:fldCharType="separate"/>
      </w:r>
      <w:r>
        <w:rPr>
          <w:rFonts w:hint="eastAsia" w:ascii="宋体" w:hAnsi="宋体" w:eastAsia="宋体" w:cs="宋体"/>
        </w:rPr>
        <w:t>4包装和运输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_Toc9264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_Toc27208 </w:instrText>
      </w:r>
      <w:r>
        <w:rPr>
          <w:rFonts w:hint="eastAsia" w:ascii="宋体" w:hAnsi="宋体" w:eastAsia="宋体" w:cs="宋体"/>
          <w:kern w:val="2"/>
          <w:szCs w:val="36"/>
        </w:rPr>
        <w:fldChar w:fldCharType="separate"/>
      </w:r>
      <w:r>
        <w:rPr>
          <w:rFonts w:hint="eastAsia" w:ascii="宋体" w:hAnsi="宋体" w:eastAsia="宋体" w:cs="宋体"/>
        </w:rPr>
        <w:t>5技术服务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_Toc27208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_Toc16531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_Toc16531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_Toc23146 </w:instrText>
      </w:r>
      <w:r>
        <w:rPr>
          <w:rFonts w:hint="eastAsia" w:ascii="宋体" w:hAnsi="宋体" w:eastAsia="宋体" w:cs="宋体"/>
          <w:kern w:val="2"/>
          <w:szCs w:val="36"/>
        </w:rPr>
        <w:fldChar w:fldCharType="separate"/>
      </w:r>
      <w:r>
        <w:rPr>
          <w:rFonts w:hint="eastAsia" w:ascii="宋体" w:hAnsi="宋体" w:eastAsia="宋体" w:cs="宋体"/>
        </w:rPr>
        <w:t>7设备验收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_Toc23146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_Toc13169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_Toc13169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_Toc32430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附录1 </w:t>
      </w:r>
      <w:r>
        <w:rPr>
          <w:rFonts w:hint="eastAsia" w:ascii="宋体" w:hAnsi="宋体" w:eastAsia="宋体" w:cs="宋体"/>
        </w:rPr>
        <w:t>供货范围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_Toc32430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_Toc31788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附录2 </w:t>
      </w:r>
      <w:r>
        <w:rPr>
          <w:rFonts w:hint="eastAsia" w:ascii="宋体" w:hAnsi="宋体" w:eastAsia="宋体" w:cs="宋体"/>
        </w:rPr>
        <w:t>技术差异汇总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_Toc31788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_Toc32635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_Toc32635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_Toc30180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_Toc30180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sz w:val="21"/>
        </w:rPr>
      </w:pPr>
      <w:bookmarkStart w:id="1" w:name="_Toc7140"/>
      <w:bookmarkStart w:id="2" w:name="_Toc9771"/>
      <w:r>
        <w:rPr>
          <w:rFonts w:hint="eastAsia" w:ascii="宋体" w:hAnsi="宋体" w:eastAsia="宋体" w:cs="宋体"/>
          <w:sz w:val="21"/>
        </w:rPr>
        <w:t>1 一般规定</w:t>
      </w:r>
      <w:bookmarkEnd w:id="0"/>
      <w:bookmarkEnd w:id="1"/>
      <w:bookmarkEnd w:id="2"/>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本技术条件书适用于南方电网2025年第二批无人机设备及相关附件框架采购项目相控阵通信设备及相关附件技术要求，该设备需满足本文所要求条件。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本次招标设备相控阵通信设备及相关附件，投标人投标设备必须是成熟完整的成套产品，且使用记录良好。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sz w:val="21"/>
        </w:rPr>
      </w:pPr>
      <w:bookmarkStart w:id="3" w:name="_Toc6217"/>
      <w:bookmarkStart w:id="4" w:name="_Toc9389"/>
      <w:r>
        <w:rPr>
          <w:rFonts w:hint="eastAsia" w:ascii="宋体" w:hAnsi="宋体" w:eastAsia="宋体" w:cs="宋体"/>
          <w:sz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5" w:name="_Toc11737"/>
    </w:p>
    <w:p>
      <w:pPr>
        <w:pStyle w:val="2"/>
        <w:rPr>
          <w:rFonts w:hint="eastAsia" w:ascii="宋体" w:hAnsi="宋体" w:eastAsia="宋体" w:cs="宋体"/>
          <w:sz w:val="21"/>
        </w:rPr>
      </w:pPr>
      <w:bookmarkStart w:id="6" w:name="_Toc6297"/>
      <w:r>
        <w:rPr>
          <w:rFonts w:hint="eastAsia" w:ascii="宋体" w:hAnsi="宋体" w:eastAsia="宋体" w:cs="宋体"/>
          <w:sz w:val="21"/>
        </w:rPr>
        <w:t>3技术要求</w:t>
      </w:r>
      <w:bookmarkEnd w:id="5"/>
      <w:bookmarkEnd w:id="6"/>
    </w:p>
    <w:p>
      <w:pPr>
        <w:adjustRightInd w:val="0"/>
        <w:snapToGrid w:val="0"/>
        <w:spacing w:line="360" w:lineRule="auto"/>
        <w:ind w:firstLine="420" w:firstLineChars="200"/>
        <w:rPr>
          <w:rFonts w:hint="eastAsia"/>
        </w:rPr>
      </w:pPr>
      <w:bookmarkStart w:id="7" w:name="_Toc2271"/>
      <w:r>
        <w:rPr>
          <w:rFonts w:hint="eastAsia"/>
        </w:rPr>
        <w:t>投标方应认真逐项填写所供设备技术参数和性能要求响应表（见表</w:t>
      </w:r>
      <w:r>
        <w:t>3</w:t>
      </w:r>
      <w:r>
        <w:rPr>
          <w:rFonts w:hint="eastAsia"/>
        </w:rPr>
        <w:t>.</w:t>
      </w:r>
      <w:r>
        <w:rPr>
          <w:rFonts w:hint="eastAsia"/>
          <w:lang w:val="en-US" w:eastAsia="zh-CN"/>
        </w:rPr>
        <w:t>1</w:t>
      </w:r>
      <w:r>
        <w:rPr>
          <w:rFonts w:hint="eastAsia"/>
        </w:rPr>
        <w:t>）中“投标方保证值”栏，不论“项目要求值”栏是否给出具体数值，都不能空格，也不能以“响应”两字代替，不允许改动本表内“投标方保证值”栏之外的数值。如有差异，请填写</w:t>
      </w:r>
      <w:r>
        <w:rPr>
          <w:rFonts w:hint="eastAsia" w:ascii="宋体" w:hAnsi="宋体" w:eastAsia="宋体" w:cs="宋体"/>
          <w:lang w:val="en-US" w:eastAsia="zh-CN"/>
        </w:rPr>
        <w:t>附表2</w:t>
      </w:r>
      <w:r>
        <w:rPr>
          <w:rFonts w:hint="eastAsia"/>
        </w:rPr>
        <w:t>：技术差异表。下表中投标方保证值不得低于项目要求值要求。</w:t>
      </w:r>
    </w:p>
    <w:p>
      <w:pPr>
        <w:widowControl/>
        <w:jc w:val="center"/>
        <w:rPr>
          <w:rFonts w:hint="eastAsia" w:ascii="宋体" w:hAnsi="宋体"/>
          <w:b/>
          <w:bCs/>
          <w:color w:val="000000"/>
          <w:kern w:val="0"/>
          <w:szCs w:val="21"/>
        </w:rPr>
      </w:pPr>
      <w:r>
        <w:rPr>
          <w:rFonts w:hint="eastAsia" w:ascii="宋体" w:hAnsi="宋体"/>
          <w:b/>
          <w:bCs/>
          <w:color w:val="000000"/>
          <w:kern w:val="0"/>
          <w:szCs w:val="21"/>
        </w:rPr>
        <w:t>表3.1 256阵列相控阵天线通信设备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小于等于10kg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★功耗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小于等于50W</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V</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DC 12V～24V</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工作频率</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MHz</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5725-5825MHz</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★波束扫描范围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度</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大于等于水平120°，俯仰120°</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★最远通信距离</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km</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大于等于20km</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波束响应时间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小于等于5ms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widowControl/>
        <w:jc w:val="center"/>
        <w:rPr>
          <w:rFonts w:ascii="宋体" w:hAnsi="宋体"/>
          <w:b/>
          <w:bCs/>
          <w:color w:val="000000"/>
          <w:kern w:val="0"/>
          <w:szCs w:val="21"/>
        </w:rPr>
      </w:pPr>
    </w:p>
    <w:p>
      <w:pPr>
        <w:widowControl/>
        <w:jc w:val="center"/>
        <w:rPr>
          <w:rFonts w:ascii="宋体" w:hAnsi="宋体"/>
          <w:b/>
          <w:bCs/>
          <w:color w:val="000000"/>
          <w:kern w:val="0"/>
          <w:szCs w:val="21"/>
        </w:rPr>
      </w:pPr>
      <w:r>
        <w:rPr>
          <w:rFonts w:hint="eastAsia" w:ascii="宋体" w:hAnsi="宋体"/>
          <w:b/>
          <w:bCs/>
          <w:color w:val="000000"/>
          <w:kern w:val="0"/>
          <w:szCs w:val="21"/>
        </w:rPr>
        <w:t>表3.2 32阵列相控阵天线通信设备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★功耗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小于等于12W</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V</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DC 12V～24V</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工作频率</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MHz</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5725-5825MHz</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★波束扫描范围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度</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大于等于水平120°，俯仰120°</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★最远通信距离</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km</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大于等于5km</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波束响应时间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小于等于5ms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widowControl/>
        <w:jc w:val="center"/>
        <w:rPr>
          <w:rFonts w:ascii="宋体" w:hAnsi="宋体"/>
          <w:b/>
          <w:bCs/>
          <w:color w:val="000000"/>
          <w:kern w:val="0"/>
          <w:szCs w:val="21"/>
        </w:rPr>
      </w:pPr>
    </w:p>
    <w:p>
      <w:pPr>
        <w:widowControl/>
        <w:jc w:val="center"/>
        <w:rPr>
          <w:rFonts w:hint="eastAsia" w:ascii="宋体" w:hAnsi="宋体"/>
          <w:b/>
          <w:bCs/>
          <w:color w:val="000000"/>
          <w:kern w:val="0"/>
          <w:szCs w:val="21"/>
        </w:rPr>
      </w:pPr>
      <w:r>
        <w:rPr>
          <w:rFonts w:hint="eastAsia" w:ascii="宋体" w:hAnsi="宋体"/>
          <w:b/>
          <w:bCs/>
          <w:color w:val="000000"/>
          <w:kern w:val="0"/>
          <w:szCs w:val="21"/>
        </w:rPr>
        <w:t>表3.3 远端相控阵天线通信设备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最大发射功率</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dBm</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大于等于30dBm</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★定位系统</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精度</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具备RTK 厘米级差分定位功能</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★最大传输带宽</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Mbps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大于等于866Mbps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widowControl/>
        <w:jc w:val="center"/>
        <w:rPr>
          <w:rFonts w:ascii="宋体" w:hAnsi="宋体"/>
          <w:b/>
          <w:bCs/>
          <w:color w:val="000000"/>
          <w:kern w:val="0"/>
          <w:szCs w:val="21"/>
        </w:rPr>
      </w:pPr>
    </w:p>
    <w:p>
      <w:pPr>
        <w:widowControl/>
        <w:jc w:val="center"/>
        <w:rPr>
          <w:rFonts w:hint="eastAsia" w:ascii="宋体" w:hAnsi="宋体"/>
          <w:b/>
          <w:bCs/>
          <w:color w:val="000000"/>
          <w:kern w:val="0"/>
          <w:szCs w:val="21"/>
        </w:rPr>
      </w:pPr>
      <w:r>
        <w:rPr>
          <w:rFonts w:hint="eastAsia" w:ascii="宋体" w:hAnsi="宋体"/>
          <w:b/>
          <w:bCs/>
          <w:color w:val="000000"/>
          <w:kern w:val="0"/>
          <w:szCs w:val="21"/>
        </w:rPr>
        <w:t>表3.4 256阵列相控阵主站模块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小于等于10kg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★功耗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小于等于50W</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V</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DC 12V～24V</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工作频率</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MHz</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5725-5825MHz</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★波束扫描范围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度</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大于等于水平120°，俯仰120°</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★最远通信距离</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km</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大于等于20km</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波束响应时间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小于等于5ms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135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供电模块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kg、W、充放电次数、WH、保护功能</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重量小于等于30kg；</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充电功率大于等于150W；</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充放电次数大于等于1500次；</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容量大于等于1800WH；</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包含BMS保护板，具备过充保护、过放保护、均衡保护</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widowControl/>
        <w:jc w:val="center"/>
        <w:rPr>
          <w:rFonts w:ascii="宋体" w:hAnsi="宋体"/>
          <w:b/>
          <w:bCs/>
          <w:color w:val="000000"/>
          <w:kern w:val="0"/>
          <w:szCs w:val="21"/>
        </w:rPr>
      </w:pPr>
    </w:p>
    <w:p>
      <w:pPr>
        <w:widowControl/>
        <w:jc w:val="center"/>
        <w:rPr>
          <w:rFonts w:hint="eastAsia" w:ascii="宋体" w:hAnsi="宋体"/>
          <w:b/>
          <w:bCs/>
          <w:color w:val="000000"/>
          <w:kern w:val="0"/>
          <w:szCs w:val="21"/>
        </w:rPr>
      </w:pPr>
      <w:r>
        <w:rPr>
          <w:rFonts w:hint="eastAsia" w:ascii="宋体" w:hAnsi="宋体"/>
          <w:b/>
          <w:bCs/>
          <w:color w:val="000000"/>
          <w:kern w:val="0"/>
          <w:szCs w:val="21"/>
        </w:rPr>
        <w:t>表3.5 32阵列相控阵主站模块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★功耗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小于等于12W</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V</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DC 12V～24V</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工作频率</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MHz</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5725-5825MHz</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★波束扫描范围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度</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大于等于水平120°，俯仰120°</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★最远通信距离</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km</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大于等于5km</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波束响应时间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小于等于5ms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841"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供电模块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kg、W、充放电次数、WH、保护功能</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重量小于等于30kg；</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充电功率大于等于150W；</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充放电次数大于等于1500次；</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容量大于等于1800WH；</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包含BMS保护板，具备过充保护、过放保护、均衡保护</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widowControl/>
        <w:jc w:val="center"/>
        <w:rPr>
          <w:rFonts w:ascii="宋体" w:hAnsi="宋体"/>
          <w:b/>
          <w:bCs/>
          <w:color w:val="000000"/>
          <w:kern w:val="0"/>
          <w:szCs w:val="21"/>
        </w:rPr>
      </w:pPr>
    </w:p>
    <w:p>
      <w:pPr>
        <w:widowControl/>
        <w:jc w:val="center"/>
        <w:rPr>
          <w:rFonts w:hint="eastAsia" w:ascii="宋体" w:hAnsi="宋体"/>
          <w:b/>
          <w:bCs/>
          <w:color w:val="000000"/>
          <w:kern w:val="0"/>
          <w:szCs w:val="21"/>
        </w:rPr>
      </w:pPr>
      <w:r>
        <w:rPr>
          <w:rFonts w:hint="eastAsia" w:ascii="宋体" w:hAnsi="宋体"/>
          <w:b/>
          <w:bCs/>
          <w:color w:val="000000"/>
          <w:kern w:val="0"/>
          <w:szCs w:val="21"/>
        </w:rPr>
        <w:t>表3.6 远端相控阵模块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小于等于5kg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最大发射功率</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dBm</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大于等于30dBm</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★定位系统</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精度</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具备RTK 厘米级差分定位功能</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★最大传输带宽</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Mbps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大于等于866Mbps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135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供电模块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kg、W、充放电次数、WH、保护功能</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重量小于等于30kg；</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充电功率大于等于150W；</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充放电次数大于等于1500次；</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容量大于等于1800WH；</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包含BMS保护板，具备过充保护、过放保护、均衡保护</w:t>
            </w:r>
          </w:p>
        </w:tc>
        <w:tc>
          <w:tcPr>
            <w:tcW w:w="1417"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widowControl/>
        <w:jc w:val="center"/>
        <w:rPr>
          <w:rFonts w:ascii="宋体" w:hAnsi="宋体"/>
          <w:b/>
          <w:bCs/>
          <w:color w:val="000000"/>
          <w:kern w:val="0"/>
          <w:szCs w:val="21"/>
        </w:rPr>
      </w:pPr>
    </w:p>
    <w:p>
      <w:pPr>
        <w:widowControl/>
        <w:jc w:val="center"/>
        <w:rPr>
          <w:rFonts w:hint="eastAsia" w:ascii="宋体" w:hAnsi="宋体"/>
          <w:b/>
          <w:bCs/>
          <w:color w:val="000000"/>
          <w:kern w:val="0"/>
          <w:szCs w:val="21"/>
        </w:rPr>
      </w:pPr>
      <w:r>
        <w:rPr>
          <w:rFonts w:hint="eastAsia" w:ascii="宋体" w:hAnsi="宋体"/>
          <w:b/>
          <w:bCs/>
          <w:color w:val="000000"/>
          <w:kern w:val="0"/>
          <w:szCs w:val="21"/>
        </w:rPr>
        <w:t>表3.7 4阵列相控阵天线通信设备 技术参数和性能要求响应表（投标方需填写）</w:t>
      </w:r>
    </w:p>
    <w:tbl>
      <w:tblPr>
        <w:tblStyle w:val="19"/>
        <w:tblW w:w="8959" w:type="dxa"/>
        <w:tblInd w:w="93" w:type="dxa"/>
        <w:tblLayout w:type="autofit"/>
        <w:tblCellMar>
          <w:top w:w="0" w:type="dxa"/>
          <w:left w:w="108" w:type="dxa"/>
          <w:bottom w:w="0" w:type="dxa"/>
          <w:right w:w="108" w:type="dxa"/>
        </w:tblCellMar>
      </w:tblPr>
      <w:tblGrid>
        <w:gridCol w:w="576"/>
        <w:gridCol w:w="1067"/>
        <w:gridCol w:w="937"/>
        <w:gridCol w:w="2127"/>
        <w:gridCol w:w="1417"/>
        <w:gridCol w:w="2835"/>
      </w:tblGrid>
      <w:tr>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序号</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单位</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b/>
                <w:bCs/>
                <w:color w:val="000000"/>
                <w:kern w:val="0"/>
                <w:sz w:val="18"/>
                <w:szCs w:val="18"/>
                <w:lang w:bidi="ar"/>
              </w:rPr>
              <w:t>项目要求值</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r>
              <w:rPr>
                <w:rFonts w:hint="eastAsia" w:ascii="宋体" w:hAnsi="宋体" w:cs="宋体"/>
                <w:b/>
                <w:bCs/>
                <w:color w:val="000000"/>
                <w:kern w:val="0"/>
                <w:sz w:val="18"/>
                <w:szCs w:val="18"/>
                <w:lang w:bidi="ar"/>
              </w:rPr>
              <w:t>投标方保证值</w:t>
            </w:r>
          </w:p>
        </w:tc>
        <w:tc>
          <w:tcPr>
            <w:tcW w:w="283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rPr>
            </w:pPr>
            <w:r>
              <w:rPr>
                <w:rFonts w:hint="eastAsia" w:ascii="宋体" w:hAnsi="宋体" w:cs="宋体"/>
                <w:b/>
                <w:bCs/>
                <w:color w:val="000000"/>
                <w:sz w:val="18"/>
                <w:szCs w:val="18"/>
              </w:rPr>
              <w:t>证明材料形式要求</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重量</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kg</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小于等于2kg</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★功耗</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小于等于10W</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★防护等级</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IP等级</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大于等于IP67</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数据接口</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种类、数量</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1000BASE-T ×1</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供电范围</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V</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DC 12～24V/POE</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r>
        <w:tblPrEx>
          <w:tblCellMar>
            <w:top w:w="0" w:type="dxa"/>
            <w:left w:w="108" w:type="dxa"/>
            <w:bottom w:w="0" w:type="dxa"/>
            <w:right w:w="108" w:type="dxa"/>
          </w:tblCellMar>
        </w:tblPrEx>
        <w:trPr>
          <w:trHeight w:val="270" w:hRule="atLeast"/>
        </w:trPr>
        <w:tc>
          <w:tcPr>
            <w:tcW w:w="5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★最大传输带宽</w:t>
            </w:r>
          </w:p>
        </w:tc>
        <w:tc>
          <w:tcPr>
            <w:tcW w:w="93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Mbps</w:t>
            </w:r>
          </w:p>
        </w:tc>
        <w:tc>
          <w:tcPr>
            <w:tcW w:w="212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大于等于866Mbps</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18"/>
                <w:szCs w:val="18"/>
              </w:rPr>
            </w:pPr>
          </w:p>
        </w:tc>
        <w:tc>
          <w:tcPr>
            <w:tcW w:w="283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cs="宋体"/>
                <w:color w:val="000000"/>
                <w:sz w:val="22"/>
              </w:rPr>
            </w:pPr>
            <w:r>
              <w:rPr>
                <w:rFonts w:hint="eastAsia" w:ascii="宋体" w:hAnsi="宋体" w:cs="宋体"/>
              </w:rPr>
              <w:t>试验报告、说明书、保证函等</w:t>
            </w:r>
          </w:p>
        </w:tc>
      </w:tr>
    </w:tbl>
    <w:p>
      <w:pPr>
        <w:pStyle w:val="2"/>
        <w:rPr>
          <w:rFonts w:hint="eastAsia" w:ascii="宋体" w:hAnsi="宋体" w:eastAsia="宋体" w:cs="宋体"/>
          <w:sz w:val="21"/>
        </w:rPr>
      </w:pPr>
      <w:bookmarkStart w:id="8" w:name="_Toc9264"/>
      <w:r>
        <w:rPr>
          <w:rFonts w:hint="eastAsia" w:ascii="宋体" w:hAnsi="宋体" w:eastAsia="宋体" w:cs="宋体"/>
          <w:sz w:val="21"/>
        </w:rPr>
        <w:t>4包装和运输</w:t>
      </w:r>
      <w:bookmarkEnd w:id="7"/>
      <w:bookmarkEnd w:id="8"/>
    </w:p>
    <w:p>
      <w:pPr>
        <w:spacing w:line="360" w:lineRule="auto"/>
        <w:ind w:firstLine="420" w:firstLineChars="200"/>
        <w:rPr>
          <w:rFonts w:asciiTheme="minorEastAsia" w:hAnsiTheme="minorEastAsia" w:eastAsiaTheme="minorEastAsia"/>
          <w:szCs w:val="24"/>
        </w:rPr>
      </w:pPr>
      <w:bookmarkStart w:id="9" w:name="_Toc27208"/>
      <w:bookmarkStart w:id="10" w:name="_Toc12510"/>
      <w:r>
        <w:rPr>
          <w:rFonts w:hint="eastAsia" w:asciiTheme="minorEastAsia" w:hAnsiTheme="minorEastAsia" w:eastAsiaTheme="minorEastAsia"/>
          <w:szCs w:val="24"/>
        </w:rPr>
        <w:t>投标方必须按以下要求对设备进行包装运输，凡招标方的要求与下述不同时，按招标方的要求进行。</w:t>
      </w:r>
    </w:p>
    <w:p>
      <w:pPr>
        <w:pStyle w:val="12"/>
        <w:pageBreakBefore w:val="0"/>
        <w:widowControl w:val="0"/>
        <w:kinsoku/>
        <w:wordWrap/>
        <w:overflowPunct/>
        <w:autoSpaceDE/>
        <w:autoSpaceDN/>
        <w:bidi w:val="0"/>
        <w:adjustRightInd/>
        <w:snapToGrid/>
        <w:spacing w:line="360" w:lineRule="auto"/>
        <w:rPr>
          <w:rFonts w:hint="eastAsia" w:ascii="宋体" w:hAnsi="宋体" w:eastAsia="宋体" w:cs="宋体"/>
          <w:spacing w:val="-4"/>
          <w:highlight w:val="none"/>
        </w:rPr>
      </w:pPr>
      <w:r>
        <w:rPr>
          <w:rFonts w:hint="eastAsia" w:hAnsi="宋体" w:eastAsia="宋体" w:cs="宋体"/>
          <w:spacing w:val="-4"/>
          <w:highlight w:val="none"/>
          <w:lang w:val="en-US" w:eastAsia="zh-CN"/>
        </w:rPr>
        <w:t>4</w:t>
      </w:r>
      <w:r>
        <w:rPr>
          <w:rFonts w:hint="eastAsia" w:ascii="宋体" w:hAnsi="宋体" w:eastAsia="宋体" w:cs="宋体"/>
          <w:spacing w:val="-4"/>
          <w:highlight w:val="none"/>
        </w:rPr>
        <w:t>.1</w:t>
      </w:r>
      <w:r>
        <w:rPr>
          <w:rFonts w:hint="eastAsia" w:ascii="宋体" w:hAnsi="宋体" w:eastAsia="宋体" w:cs="宋体"/>
          <w:spacing w:val="-4"/>
          <w:highlight w:val="none"/>
          <w:lang w:val="en-US" w:eastAsia="zh-CN"/>
        </w:rPr>
        <w:t xml:space="preserve"> </w:t>
      </w:r>
      <w:r>
        <w:rPr>
          <w:rFonts w:hint="eastAsia" w:ascii="宋体" w:hAnsi="宋体" w:eastAsia="宋体" w:cs="宋体"/>
          <w:spacing w:val="-4"/>
          <w:highlight w:val="none"/>
        </w:rPr>
        <w:t>投标方提供的所有合同设备应包装牢固，保证设备免受潮湿、生锈，雨淋和振动。包装应能够承受大批量搬运和装卸以及长距离空运、陆运运输。</w:t>
      </w:r>
    </w:p>
    <w:p>
      <w:pPr>
        <w:pStyle w:val="12"/>
        <w:pageBreakBefore w:val="0"/>
        <w:widowControl w:val="0"/>
        <w:kinsoku/>
        <w:wordWrap/>
        <w:overflowPunct/>
        <w:autoSpaceDE/>
        <w:autoSpaceDN/>
        <w:bidi w:val="0"/>
        <w:adjustRightInd/>
        <w:snapToGrid/>
        <w:spacing w:line="360" w:lineRule="auto"/>
        <w:rPr>
          <w:rFonts w:hint="eastAsia" w:ascii="宋体" w:hAnsi="宋体" w:eastAsia="宋体" w:cs="宋体"/>
          <w:spacing w:val="-4"/>
          <w:highlight w:val="none"/>
        </w:rPr>
      </w:pPr>
      <w:r>
        <w:rPr>
          <w:rFonts w:hint="eastAsia" w:hAnsi="宋体" w:eastAsia="宋体" w:cs="宋体"/>
          <w:spacing w:val="-4"/>
          <w:highlight w:val="none"/>
          <w:lang w:val="en-US" w:eastAsia="zh-CN"/>
        </w:rPr>
        <w:t>4</w:t>
      </w:r>
      <w:r>
        <w:rPr>
          <w:rFonts w:hint="eastAsia" w:ascii="宋体" w:hAnsi="宋体" w:eastAsia="宋体" w:cs="宋体"/>
          <w:spacing w:val="-4"/>
          <w:highlight w:val="none"/>
        </w:rPr>
        <w:t>.2</w:t>
      </w:r>
      <w:r>
        <w:rPr>
          <w:rFonts w:hint="eastAsia" w:ascii="宋体" w:hAnsi="宋体" w:eastAsia="宋体" w:cs="宋体"/>
          <w:spacing w:val="-4"/>
          <w:highlight w:val="none"/>
          <w:lang w:val="en-US" w:eastAsia="zh-CN"/>
        </w:rPr>
        <w:t xml:space="preserve"> </w:t>
      </w:r>
      <w:r>
        <w:rPr>
          <w:rFonts w:hint="eastAsia" w:ascii="宋体" w:hAnsi="宋体" w:eastAsia="宋体" w:cs="宋体"/>
          <w:spacing w:val="-4"/>
          <w:highlight w:val="none"/>
        </w:rPr>
        <w:t>保证设备安全抵达用户现场而无损坏。</w:t>
      </w:r>
    </w:p>
    <w:p>
      <w:pPr>
        <w:pStyle w:val="12"/>
        <w:pageBreakBefore w:val="0"/>
        <w:widowControl w:val="0"/>
        <w:kinsoku/>
        <w:wordWrap/>
        <w:overflowPunct/>
        <w:autoSpaceDE/>
        <w:autoSpaceDN/>
        <w:bidi w:val="0"/>
        <w:adjustRightInd/>
        <w:snapToGrid/>
        <w:spacing w:line="360" w:lineRule="auto"/>
        <w:rPr>
          <w:rFonts w:hint="eastAsia" w:ascii="宋体" w:hAnsi="宋体" w:eastAsia="宋体" w:cs="宋体"/>
          <w:spacing w:val="-4"/>
          <w:highlight w:val="none"/>
        </w:rPr>
      </w:pPr>
      <w:r>
        <w:rPr>
          <w:rFonts w:hint="eastAsia" w:hAnsi="宋体" w:eastAsia="宋体" w:cs="宋体"/>
          <w:spacing w:val="-4"/>
          <w:highlight w:val="none"/>
          <w:lang w:val="en-US" w:eastAsia="zh-CN"/>
        </w:rPr>
        <w:t>4</w:t>
      </w:r>
      <w:r>
        <w:rPr>
          <w:rFonts w:hint="eastAsia" w:ascii="宋体" w:hAnsi="宋体" w:eastAsia="宋体" w:cs="宋体"/>
          <w:spacing w:val="-4"/>
          <w:highlight w:val="none"/>
        </w:rPr>
        <w:t>.3</w:t>
      </w:r>
      <w:r>
        <w:rPr>
          <w:rFonts w:hint="eastAsia" w:ascii="宋体" w:hAnsi="宋体" w:eastAsia="宋体" w:cs="宋体"/>
          <w:spacing w:val="-4"/>
          <w:highlight w:val="none"/>
          <w:lang w:val="en-US" w:eastAsia="zh-CN"/>
        </w:rPr>
        <w:t xml:space="preserve"> </w:t>
      </w:r>
      <w:r>
        <w:rPr>
          <w:rFonts w:hint="eastAsia" w:ascii="宋体" w:hAnsi="宋体" w:eastAsia="宋体" w:cs="宋体"/>
          <w:spacing w:val="-4"/>
          <w:highlight w:val="none"/>
        </w:rPr>
        <w:t>所有设备包装应便于装卸、转运和现场安装。</w:t>
      </w:r>
    </w:p>
    <w:p>
      <w:pPr>
        <w:pStyle w:val="12"/>
        <w:pageBreakBefore w:val="0"/>
        <w:widowControl w:val="0"/>
        <w:kinsoku/>
        <w:wordWrap/>
        <w:overflowPunct/>
        <w:autoSpaceDE/>
        <w:autoSpaceDN/>
        <w:bidi w:val="0"/>
        <w:adjustRightInd/>
        <w:snapToGrid/>
        <w:spacing w:line="360" w:lineRule="auto"/>
        <w:rPr>
          <w:rFonts w:hint="eastAsia" w:ascii="宋体" w:hAnsi="宋体" w:eastAsia="宋体" w:cs="宋体"/>
          <w:spacing w:val="-4"/>
          <w:highlight w:val="none"/>
        </w:rPr>
      </w:pPr>
      <w:r>
        <w:rPr>
          <w:rFonts w:hint="eastAsia" w:hAnsi="宋体" w:eastAsia="宋体" w:cs="宋体"/>
          <w:spacing w:val="-4"/>
          <w:highlight w:val="none"/>
          <w:lang w:val="en-US" w:eastAsia="zh-CN"/>
        </w:rPr>
        <w:t>4</w:t>
      </w:r>
      <w:r>
        <w:rPr>
          <w:rFonts w:hint="eastAsia" w:ascii="宋体" w:hAnsi="宋体" w:eastAsia="宋体" w:cs="宋体"/>
          <w:spacing w:val="-4"/>
          <w:highlight w:val="none"/>
        </w:rPr>
        <w:t>.4</w:t>
      </w:r>
      <w:r>
        <w:rPr>
          <w:rFonts w:hint="eastAsia" w:ascii="宋体" w:hAnsi="宋体" w:eastAsia="宋体" w:cs="宋体"/>
          <w:spacing w:val="-4"/>
          <w:highlight w:val="none"/>
          <w:lang w:val="en-US" w:eastAsia="zh-CN"/>
        </w:rPr>
        <w:t xml:space="preserve"> </w:t>
      </w:r>
      <w:r>
        <w:rPr>
          <w:rFonts w:hint="eastAsia" w:ascii="宋体" w:hAnsi="宋体" w:eastAsia="宋体" w:cs="宋体"/>
          <w:spacing w:val="-4"/>
          <w:highlight w:val="none"/>
        </w:rPr>
        <w:t>在运输和存储期间，设备的电气绝缘应防止受潮和灰尘进入。</w:t>
      </w:r>
    </w:p>
    <w:p>
      <w:pPr>
        <w:pStyle w:val="12"/>
        <w:pageBreakBefore w:val="0"/>
        <w:widowControl w:val="0"/>
        <w:kinsoku/>
        <w:wordWrap/>
        <w:overflowPunct/>
        <w:autoSpaceDE/>
        <w:autoSpaceDN/>
        <w:bidi w:val="0"/>
        <w:adjustRightInd/>
        <w:snapToGrid/>
        <w:spacing w:line="360" w:lineRule="auto"/>
        <w:rPr>
          <w:rFonts w:hint="eastAsia" w:ascii="宋体" w:hAnsi="宋体" w:eastAsia="宋体" w:cs="宋体"/>
          <w:spacing w:val="-4"/>
          <w:highlight w:val="none"/>
        </w:rPr>
      </w:pPr>
      <w:r>
        <w:rPr>
          <w:rFonts w:hint="eastAsia" w:hAnsi="宋体" w:eastAsia="宋体" w:cs="宋体"/>
          <w:spacing w:val="-4"/>
          <w:highlight w:val="none"/>
          <w:lang w:val="en-US" w:eastAsia="zh-CN"/>
        </w:rPr>
        <w:t>4</w:t>
      </w:r>
      <w:r>
        <w:rPr>
          <w:rFonts w:hint="eastAsia" w:ascii="宋体" w:hAnsi="宋体" w:eastAsia="宋体" w:cs="宋体"/>
          <w:spacing w:val="-4"/>
          <w:highlight w:val="none"/>
        </w:rPr>
        <w:t>.5</w:t>
      </w:r>
      <w:r>
        <w:rPr>
          <w:rFonts w:hint="eastAsia" w:ascii="宋体" w:hAnsi="宋体" w:eastAsia="宋体" w:cs="宋体"/>
          <w:spacing w:val="-4"/>
          <w:highlight w:val="none"/>
          <w:lang w:val="en-US" w:eastAsia="zh-CN"/>
        </w:rPr>
        <w:t xml:space="preserve"> </w:t>
      </w:r>
      <w:r>
        <w:rPr>
          <w:rFonts w:hint="eastAsia" w:ascii="宋体" w:hAnsi="宋体" w:eastAsia="宋体" w:cs="宋体"/>
          <w:spacing w:val="-4"/>
          <w:highlight w:val="none"/>
        </w:rPr>
        <w:t>对于那些受冲击和振动易于损坏的设备，应按要求用于运输的方法包装。</w:t>
      </w:r>
      <w:r>
        <w:rPr>
          <w:rFonts w:hint="eastAsia" w:ascii="宋体" w:hAnsi="宋体" w:eastAsia="宋体" w:cs="宋体"/>
          <w:spacing w:val="-4"/>
          <w:highlight w:val="none"/>
          <w:lang w:val="en-US" w:eastAsia="zh-CN"/>
        </w:rPr>
        <w:t>投标方将货物运送到招标方</w:t>
      </w:r>
      <w:r>
        <w:rPr>
          <w:rFonts w:hint="eastAsia" w:ascii="宋体" w:hAnsi="宋体" w:eastAsia="宋体" w:cs="宋体"/>
          <w:spacing w:val="-4"/>
          <w:highlight w:val="none"/>
        </w:rPr>
        <w:t>指定的地点。</w:t>
      </w:r>
    </w:p>
    <w:p>
      <w:pPr>
        <w:spacing w:line="360" w:lineRule="auto"/>
        <w:jc w:val="left"/>
        <w:rPr>
          <w:rFonts w:hint="eastAsia" w:ascii="宋体" w:hAnsi="宋体" w:eastAsia="宋体" w:cs="宋体"/>
          <w:spacing w:val="-4"/>
          <w:highlight w:val="none"/>
        </w:rPr>
      </w:pPr>
      <w:r>
        <w:rPr>
          <w:rFonts w:hint="eastAsia" w:ascii="宋体" w:hAnsi="宋体" w:eastAsia="宋体" w:cs="宋体"/>
          <w:spacing w:val="-4"/>
          <w:highlight w:val="none"/>
          <w:lang w:val="en-US" w:eastAsia="zh-CN"/>
        </w:rPr>
        <w:t>4</w:t>
      </w:r>
      <w:r>
        <w:rPr>
          <w:rFonts w:hint="eastAsia" w:ascii="宋体" w:hAnsi="宋体" w:eastAsia="宋体" w:cs="宋体"/>
          <w:spacing w:val="-4"/>
          <w:highlight w:val="none"/>
        </w:rPr>
        <w:t>.6</w:t>
      </w:r>
      <w:r>
        <w:rPr>
          <w:rFonts w:hint="eastAsia" w:ascii="宋体" w:hAnsi="宋体" w:eastAsia="宋体" w:cs="宋体"/>
          <w:spacing w:val="-4"/>
          <w:highlight w:val="none"/>
          <w:lang w:val="en-US" w:eastAsia="zh-CN"/>
        </w:rPr>
        <w:t xml:space="preserve"> </w:t>
      </w:r>
      <w:r>
        <w:rPr>
          <w:rFonts w:hint="eastAsia" w:ascii="宋体" w:hAnsi="宋体" w:eastAsia="宋体" w:cs="宋体"/>
          <w:spacing w:val="-4"/>
          <w:highlight w:val="none"/>
        </w:rPr>
        <w:t>在设备到达目的地后，投标方组织、招标方参加，开箱验收。如果发现任何一样设备有偏差、损坏、损失、遗漏或数量、质量、技术规范因投标方的责任与合同不符，招标方有权向投标方提出索赔。</w:t>
      </w:r>
    </w:p>
    <w:p>
      <w:pPr>
        <w:spacing w:line="360" w:lineRule="auto"/>
        <w:jc w:val="left"/>
        <w:rPr>
          <w:rFonts w:hint="eastAsia" w:ascii="宋体" w:hAnsi="宋体" w:eastAsia="宋体" w:cs="宋体"/>
          <w:szCs w:val="24"/>
        </w:rPr>
      </w:pPr>
      <w:r>
        <w:rPr>
          <w:rFonts w:hint="eastAsia" w:ascii="宋体" w:hAnsi="宋体" w:eastAsia="宋体" w:cs="宋体"/>
          <w:szCs w:val="24"/>
        </w:rPr>
        <w:t>4.</w:t>
      </w:r>
      <w:r>
        <w:rPr>
          <w:rFonts w:hint="eastAsia" w:ascii="宋体" w:hAnsi="宋体" w:cs="宋体"/>
          <w:szCs w:val="24"/>
          <w:lang w:val="en-US" w:eastAsia="zh-CN"/>
        </w:rPr>
        <w:t>7</w:t>
      </w:r>
      <w:r>
        <w:rPr>
          <w:rFonts w:hint="eastAsia" w:ascii="宋体" w:hAnsi="宋体" w:eastAsia="宋体" w:cs="宋体"/>
          <w:szCs w:val="24"/>
        </w:rPr>
        <w:t xml:space="preserve">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w:t>
      </w:r>
      <w:r>
        <w:rPr>
          <w:rFonts w:hint="eastAsia" w:ascii="宋体" w:hAnsi="宋体" w:cs="宋体"/>
          <w:szCs w:val="24"/>
          <w:lang w:val="en-US" w:eastAsia="zh-CN"/>
        </w:rPr>
        <w:t>8</w:t>
      </w:r>
      <w:r>
        <w:rPr>
          <w:rFonts w:hint="eastAsia" w:ascii="宋体" w:hAnsi="宋体" w:eastAsia="宋体" w:cs="宋体"/>
          <w:szCs w:val="24"/>
        </w:rPr>
        <w:t xml:space="preserve">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r>
        <w:rPr>
          <w:rFonts w:hint="eastAsia" w:ascii="宋体" w:hAnsi="宋体" w:eastAsia="宋体" w:cs="宋体"/>
          <w:sz w:val="21"/>
        </w:rPr>
        <w:t>5技术服务</w:t>
      </w:r>
      <w:bookmarkEnd w:id="9"/>
      <w:bookmarkEnd w:id="10"/>
    </w:p>
    <w:p>
      <w:pPr>
        <w:spacing w:line="360" w:lineRule="auto"/>
        <w:rPr>
          <w:rFonts w:hint="eastAsia" w:ascii="宋体" w:hAnsi="宋体" w:eastAsia="宋体" w:cs="宋体"/>
          <w:szCs w:val="24"/>
        </w:rPr>
      </w:pPr>
      <w:bookmarkStart w:id="11" w:name="_Toc16531"/>
      <w:bookmarkStart w:id="12" w:name="_Toc10527"/>
      <w:bookmarkStart w:id="13" w:name="_Toc300066390"/>
      <w:bookmarkStart w:id="14" w:name="_Toc293403381"/>
      <w:r>
        <w:rPr>
          <w:rFonts w:hint="eastAsia" w:ascii="宋体" w:hAnsi="宋体" w:eastAsia="宋体" w:cs="宋体"/>
          <w:szCs w:val="24"/>
        </w:rPr>
        <w:t>5.1 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投标方提供培训应分为工厂培训和现场培训两种；</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投标方提供培训教师、培训安排、培训教材及培训设备；</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cs="宋体"/>
          <w:szCs w:val="24"/>
          <w:lang w:val="en-US" w:eastAsia="zh-CN"/>
        </w:rPr>
        <w:t>相控通信</w:t>
      </w:r>
      <w:r>
        <w:rPr>
          <w:rFonts w:hint="eastAsia" w:ascii="宋体" w:hAnsi="宋体" w:eastAsia="宋体" w:cs="宋体"/>
          <w:szCs w:val="24"/>
        </w:rPr>
        <w:t>设备的整体使用方法，</w:t>
      </w:r>
      <w:r>
        <w:rPr>
          <w:rFonts w:hint="eastAsia" w:ascii="宋体" w:hAnsi="宋体" w:cs="宋体"/>
          <w:szCs w:val="24"/>
          <w:lang w:eastAsia="zh-CN"/>
        </w:rPr>
        <w:t>联网调试</w:t>
      </w:r>
      <w:r>
        <w:rPr>
          <w:rFonts w:hint="eastAsia" w:ascii="宋体" w:hAnsi="宋体" w:eastAsia="宋体" w:cs="宋体"/>
          <w:szCs w:val="24"/>
        </w:rPr>
        <w:t>处理，常见故障排查处理等。培训内容包括以上但不限于此。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培训时间不少2天，培训人员每次不少3人。其中，投标方交货后在南方电网下属相应的分子公司进行为期1天时间的培训。</w:t>
      </w:r>
    </w:p>
    <w:p>
      <w:pPr>
        <w:spacing w:line="360" w:lineRule="auto"/>
        <w:rPr>
          <w:rFonts w:hint="eastAsia" w:ascii="宋体" w:hAnsi="宋体" w:eastAsia="宋体" w:cs="宋体"/>
          <w:szCs w:val="24"/>
        </w:rPr>
      </w:pPr>
      <w:bookmarkStart w:id="15"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5.3时间进度要求。产品交货时间不晚于甲方下单后30天。</w:t>
      </w:r>
    </w:p>
    <w:bookmarkEnd w:id="15"/>
    <w:p>
      <w:pPr>
        <w:pStyle w:val="2"/>
        <w:rPr>
          <w:rFonts w:hint="eastAsia" w:ascii="宋体" w:hAnsi="宋体" w:eastAsia="宋体" w:cs="宋体"/>
          <w:sz w:val="21"/>
        </w:rPr>
      </w:pPr>
      <w:r>
        <w:rPr>
          <w:rFonts w:hint="eastAsia" w:ascii="宋体" w:hAnsi="宋体" w:eastAsia="宋体" w:cs="宋体"/>
          <w:sz w:val="21"/>
        </w:rPr>
        <w:t>6质量保证和试验</w:t>
      </w:r>
      <w:bookmarkEnd w:id="11"/>
      <w:bookmarkEnd w:id="12"/>
      <w:bookmarkEnd w:id="13"/>
      <w:bookmarkEnd w:id="14"/>
    </w:p>
    <w:p>
      <w:pPr>
        <w:spacing w:line="360" w:lineRule="auto"/>
        <w:rPr>
          <w:rFonts w:hint="eastAsia" w:ascii="宋体" w:hAnsi="宋体" w:eastAsia="宋体" w:cs="宋体"/>
          <w:szCs w:val="24"/>
        </w:rPr>
      </w:pPr>
      <w:bookmarkStart w:id="16" w:name="_Toc23146"/>
      <w:bookmarkStart w:id="17" w:name="_Toc23887"/>
      <w:r>
        <w:rPr>
          <w:rFonts w:hint="eastAsia" w:ascii="宋体" w:hAnsi="宋体" w:eastAsia="宋体" w:cs="宋体"/>
          <w:szCs w:val="24"/>
        </w:rPr>
        <w:t>6.1 投标方应确保</w:t>
      </w:r>
      <w:r>
        <w:rPr>
          <w:rFonts w:hint="eastAsia" w:ascii="宋体" w:hAnsi="宋体" w:cs="宋体"/>
          <w:szCs w:val="24"/>
          <w:lang w:eastAsia="zh-CN"/>
        </w:rPr>
        <w:t>相控通信</w:t>
      </w:r>
      <w:r>
        <w:rPr>
          <w:rFonts w:hint="eastAsia" w:ascii="宋体" w:hAnsi="宋体" w:eastAsia="宋体" w:cs="宋体"/>
          <w:szCs w:val="24"/>
        </w:rPr>
        <w:t>设备的完整性和可用性，保证</w:t>
      </w:r>
      <w:r>
        <w:rPr>
          <w:rFonts w:hint="eastAsia" w:ascii="宋体" w:hAnsi="宋体" w:cs="宋体"/>
          <w:szCs w:val="24"/>
          <w:lang w:eastAsia="zh-CN"/>
        </w:rPr>
        <w:t>设备</w:t>
      </w:r>
      <w:r>
        <w:rPr>
          <w:rFonts w:hint="eastAsia" w:ascii="宋体" w:hAnsi="宋体" w:eastAsia="宋体" w:cs="宋体"/>
          <w:szCs w:val="24"/>
        </w:rPr>
        <w:t>能够投入正常运行。若出现由于投标方提供的软/硬件应用不满足要求或所提供的技术支持和服务不全面而导致</w:t>
      </w:r>
      <w:r>
        <w:rPr>
          <w:rFonts w:hint="eastAsia" w:ascii="宋体" w:hAnsi="宋体" w:cs="宋体"/>
          <w:szCs w:val="24"/>
          <w:lang w:eastAsia="zh-CN"/>
        </w:rPr>
        <w:t>设备</w:t>
      </w:r>
      <w:r>
        <w:rPr>
          <w:rFonts w:hint="eastAsia" w:ascii="宋体" w:hAnsi="宋体" w:eastAsia="宋体" w:cs="宋体"/>
          <w:szCs w:val="24"/>
        </w:rPr>
        <w:t>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投标方应根据国家标准和制造厂标准进行出厂试验（试验内容及标准执行</w:t>
      </w:r>
      <w:r>
        <w:rPr>
          <w:rFonts w:hint="eastAsia" w:ascii="宋体" w:hAnsi="宋体" w:cs="宋体"/>
          <w:szCs w:val="24"/>
          <w:lang w:eastAsia="zh-CN"/>
        </w:rPr>
        <w:t>相控阵通信</w:t>
      </w:r>
      <w:r>
        <w:rPr>
          <w:rFonts w:hint="eastAsia" w:ascii="宋体" w:hAnsi="宋体" w:eastAsia="宋体" w:cs="宋体"/>
          <w:szCs w:val="24"/>
        </w:rPr>
        <w:t>设备采购关键技术参数表中有关要求，具体包括需提供证明材料的关键参数），对其所供的设备进行全面的检查与试验，并提供出厂试验报告。</w:t>
      </w:r>
    </w:p>
    <w:p>
      <w:pPr>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随设备需附带质量保证书和保修卡，自设备正式投运之日起不短于正常运行3年为质保期，如需收取服务费用，请在投标书中说明服务种类和收费标准。</w:t>
      </w:r>
    </w:p>
    <w:p>
      <w:pPr>
        <w:pStyle w:val="2"/>
        <w:rPr>
          <w:rFonts w:hint="eastAsia" w:ascii="宋体" w:hAnsi="宋体" w:eastAsia="宋体" w:cs="宋体"/>
          <w:sz w:val="21"/>
        </w:rPr>
      </w:pPr>
      <w:r>
        <w:rPr>
          <w:rFonts w:hint="eastAsia" w:ascii="宋体" w:hAnsi="宋体" w:eastAsia="宋体" w:cs="宋体"/>
          <w:sz w:val="21"/>
        </w:rPr>
        <w:t>7设备验收</w:t>
      </w:r>
      <w:bookmarkEnd w:id="16"/>
      <w:bookmarkEnd w:id="17"/>
    </w:p>
    <w:p>
      <w:pPr>
        <w:spacing w:line="360" w:lineRule="auto"/>
        <w:jc w:val="left"/>
        <w:rPr>
          <w:rFonts w:hint="eastAsia" w:ascii="宋体" w:hAnsi="宋体" w:eastAsia="宋体" w:cs="宋体"/>
          <w:szCs w:val="24"/>
        </w:rPr>
      </w:pPr>
      <w:bookmarkStart w:id="18" w:name="_Toc24795"/>
      <w:bookmarkStart w:id="19" w:name="_Toc13169"/>
      <w:r>
        <w:rPr>
          <w:rFonts w:hint="eastAsia" w:ascii="宋体" w:hAnsi="宋体" w:eastAsia="宋体" w:cs="宋体"/>
          <w:szCs w:val="24"/>
        </w:rPr>
        <w:t>7.1 中标方应在合同规定时间内，将招标范围内所界定的工作完成，并将完整的成套备及附件和技术文件通过双方认可的验收后，交付给采购的分子公司，其中包括：</w:t>
      </w:r>
    </w:p>
    <w:p>
      <w:pPr>
        <w:spacing w:line="360" w:lineRule="auto"/>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bookmarkEnd w:id="18"/>
    <w:bookmarkEnd w:id="19"/>
    <w:p>
      <w:pPr>
        <w:pStyle w:val="4"/>
        <w:rPr>
          <w:rFonts w:hint="eastAsia"/>
        </w:rPr>
      </w:pPr>
    </w:p>
    <w:p>
      <w:pPr>
        <w:rPr>
          <w:rFonts w:hint="eastAsia"/>
        </w:rPr>
      </w:pPr>
    </w:p>
    <w:p>
      <w:pPr>
        <w:pStyle w:val="2"/>
        <w:rPr>
          <w:rFonts w:hint="eastAsia" w:ascii="宋体" w:hAnsi="宋体" w:eastAsia="宋体" w:cs="宋体"/>
          <w:sz w:val="21"/>
          <w:lang w:val="en-US" w:eastAsia="zh-CN"/>
        </w:rPr>
      </w:pPr>
      <w:r>
        <w:rPr>
          <w:rFonts w:hint="eastAsia" w:ascii="宋体" w:hAnsi="宋体" w:eastAsia="宋体" w:cs="宋体"/>
          <w:sz w:val="21"/>
          <w:lang w:val="en-US" w:eastAsia="zh-CN"/>
        </w:rPr>
        <w:t>附录</w:t>
      </w:r>
    </w:p>
    <w:p>
      <w:pPr>
        <w:pStyle w:val="2"/>
        <w:rPr>
          <w:rFonts w:hint="eastAsia" w:ascii="宋体" w:hAnsi="宋体" w:eastAsia="宋体" w:cs="宋体"/>
          <w:sz w:val="21"/>
        </w:rPr>
      </w:pPr>
      <w:r>
        <w:rPr>
          <w:rFonts w:hint="eastAsia" w:ascii="宋体" w:hAnsi="宋体" w:eastAsia="宋体" w:cs="宋体"/>
          <w:sz w:val="21"/>
          <w:lang w:val="en-US" w:eastAsia="zh-CN"/>
        </w:rPr>
        <w:t xml:space="preserve">附录1 </w:t>
      </w:r>
      <w:r>
        <w:rPr>
          <w:rFonts w:hint="eastAsia" w:ascii="宋体" w:hAnsi="宋体" w:eastAsia="宋体" w:cs="宋体"/>
          <w:sz w:val="21"/>
        </w:rPr>
        <w:t>供货范围</w:t>
      </w:r>
    </w:p>
    <w:p>
      <w:pPr>
        <w:pStyle w:val="38"/>
        <w:adjustRightInd w:val="0"/>
        <w:snapToGrid w:val="0"/>
        <w:spacing w:line="360" w:lineRule="auto"/>
        <w:rPr>
          <w:rFonts w:hint="default" w:ascii="宋体" w:hAnsi="宋体" w:eastAsia="宋体"/>
          <w:b w:val="0"/>
          <w:bCs w:val="0"/>
          <w:szCs w:val="21"/>
          <w:lang w:val="en-US" w:eastAsia="zh-CN"/>
        </w:rPr>
      </w:pPr>
      <w:r>
        <w:rPr>
          <w:rFonts w:hint="eastAsia" w:ascii="宋体" w:hAnsi="宋体" w:eastAsia="宋体" w:cs="宋体"/>
          <w:b w:val="0"/>
          <w:bCs w:val="0"/>
          <w:szCs w:val="24"/>
          <w:lang w:val="en-US" w:eastAsia="zh-CN"/>
        </w:rPr>
        <w:t>★</w:t>
      </w:r>
      <w:r>
        <w:rPr>
          <w:rFonts w:ascii="宋体" w:hAnsi="宋体" w:eastAsia="宋体"/>
          <w:b w:val="0"/>
          <w:bCs w:val="0"/>
          <w:szCs w:val="21"/>
        </w:rPr>
        <w:t>投标方</w:t>
      </w:r>
      <w:r>
        <w:rPr>
          <w:rFonts w:hint="eastAsia" w:ascii="宋体" w:hAnsi="宋体" w:eastAsia="宋体"/>
          <w:b w:val="0"/>
          <w:bCs w:val="0"/>
          <w:szCs w:val="21"/>
        </w:rPr>
        <w:t>提供的设备具体规格、数量见</w:t>
      </w:r>
      <w:r>
        <w:rPr>
          <w:rFonts w:hint="eastAsia" w:ascii="宋体" w:hAnsi="宋体" w:eastAsia="宋体"/>
          <w:b w:val="0"/>
          <w:bCs w:val="0"/>
          <w:szCs w:val="21"/>
          <w:lang w:val="en-US" w:eastAsia="zh-CN"/>
        </w:rPr>
        <w:t>附表1</w:t>
      </w:r>
      <w:r>
        <w:rPr>
          <w:rFonts w:eastAsia="宋体"/>
          <w:b w:val="0"/>
          <w:bCs w:val="0"/>
          <w:szCs w:val="21"/>
        </w:rPr>
        <w:t>:</w:t>
      </w:r>
      <w:r>
        <w:rPr>
          <w:rFonts w:hint="eastAsia" w:ascii="宋体" w:hAnsi="宋体" w:eastAsia="宋体"/>
          <w:b w:val="0"/>
          <w:bCs w:val="0"/>
          <w:szCs w:val="21"/>
        </w:rPr>
        <w:t>供货范围及设备技术规格一览表。投标方应如实填写“投标方保证”栏。设备应包含出厂所配置的所有部件。</w:t>
      </w:r>
      <w:r>
        <w:rPr>
          <w:rFonts w:hint="eastAsia" w:ascii="宋体" w:hAnsi="宋体" w:eastAsia="宋体"/>
          <w:b w:val="0"/>
          <w:bCs w:val="0"/>
          <w:szCs w:val="21"/>
          <w:lang w:val="en-US" w:eastAsia="zh-CN"/>
        </w:rPr>
        <w:t>若中标后产品因促销、优惠活动等情况导致产品降价或配置修改，投标人需同比例降价或以配置较高的方案供货。</w:t>
      </w:r>
    </w:p>
    <w:p>
      <w:pPr>
        <w:pStyle w:val="38"/>
        <w:adjustRightInd w:val="0"/>
        <w:snapToGrid w:val="0"/>
        <w:spacing w:line="360" w:lineRule="auto"/>
        <w:rPr>
          <w:rFonts w:hint="default" w:ascii="宋体" w:hAnsi="宋体" w:eastAsia="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b w:val="0"/>
          <w:bCs w:val="0"/>
          <w:szCs w:val="21"/>
          <w:lang w:val="en-US" w:eastAsia="zh-CN"/>
        </w:rPr>
        <w:t>投标方应根据需求情况提前准备库存产品，以应对大批次需求和紧急需求订单，确保发货及</w:t>
      </w:r>
      <w:r>
        <w:rPr>
          <w:rFonts w:hint="eastAsia" w:ascii="宋体" w:hAnsi="宋体" w:eastAsia="宋体"/>
          <w:b w:val="0"/>
          <w:bCs w:val="0"/>
          <w:szCs w:val="21"/>
          <w:highlight w:val="none"/>
          <w:lang w:val="en-US" w:eastAsia="zh-CN"/>
        </w:rPr>
        <w:t>时。应标产品库存量应不少于1套。</w:t>
      </w:r>
      <w:r>
        <w:rPr>
          <w:rFonts w:hint="eastAsia" w:ascii="宋体" w:hAnsi="宋体" w:eastAsia="宋体"/>
          <w:b w:val="0"/>
          <w:bCs w:val="0"/>
          <w:szCs w:val="21"/>
          <w:lang w:val="en-US" w:eastAsia="zh-CN"/>
        </w:rPr>
        <w:t>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b w:val="0"/>
          <w:bCs w:val="0"/>
          <w:szCs w:val="21"/>
          <w:lang w:val="en-US" w:eastAsia="zh-CN"/>
        </w:rPr>
        <w:t>投标方应标产品应具备同时接入招标人多套配套管理信息系统的功能，按招标人要求进行接入。</w:t>
      </w:r>
    </w:p>
    <w:p>
      <w:pPr>
        <w:pStyle w:val="38"/>
        <w:adjustRightInd w:val="0"/>
        <w:snapToGrid w:val="0"/>
        <w:spacing w:line="360" w:lineRule="auto"/>
        <w:rPr>
          <w:rFonts w:hint="default" w:ascii="宋体" w:hAnsi="宋体" w:eastAsia="宋体"/>
          <w:b w:val="0"/>
          <w:bCs w:val="0"/>
          <w:szCs w:val="21"/>
          <w:lang w:val="en-US" w:eastAsia="zh-CN"/>
        </w:rPr>
      </w:pPr>
      <w:r>
        <w:rPr>
          <w:rFonts w:hint="eastAsia" w:ascii="宋体" w:hAnsi="宋体" w:eastAsia="宋体" w:cs="宋体"/>
          <w:b w:val="0"/>
          <w:bCs w:val="0"/>
          <w:szCs w:val="24"/>
          <w:lang w:val="en-US" w:eastAsia="zh-CN"/>
        </w:rPr>
        <w:t>★</w:t>
      </w:r>
      <w:r>
        <w:rPr>
          <w:rFonts w:hint="default" w:ascii="宋体" w:hAnsi="宋体" w:eastAsia="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b/>
          <w:bCs/>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20" w:name="_GoBack"/>
      <w:bookmarkEnd w:id="20"/>
    </w:p>
    <w:p>
      <w:pPr>
        <w:pStyle w:val="36"/>
        <w:ind w:firstLine="420" w:firstLineChars="0"/>
        <w:jc w:val="center"/>
        <w:outlineLvl w:val="3"/>
        <w:rPr>
          <w:rFonts w:hAnsi="宋体"/>
          <w:szCs w:val="21"/>
        </w:rPr>
      </w:pPr>
      <w:r>
        <w:rPr>
          <w:rFonts w:hint="eastAsia" w:hAnsi="宋体"/>
          <w:szCs w:val="21"/>
          <w:lang w:val="en-US" w:eastAsia="zh-CN"/>
        </w:rPr>
        <w:t xml:space="preserve">附表1 </w:t>
      </w:r>
      <w:r>
        <w:rPr>
          <w:rFonts w:hint="eastAsia" w:hAnsi="宋体"/>
          <w:szCs w:val="21"/>
        </w:rPr>
        <w:t>单套设备供货范围一览表（投标方需填写）</w:t>
      </w:r>
    </w:p>
    <w:tbl>
      <w:tblPr>
        <w:tblStyle w:val="19"/>
        <w:tblW w:w="84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2249"/>
        <w:gridCol w:w="1047"/>
        <w:gridCol w:w="708"/>
        <w:gridCol w:w="635"/>
        <w:gridCol w:w="1128"/>
        <w:gridCol w:w="1134"/>
        <w:gridCol w:w="9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249" w:type="dxa"/>
            <w:vMerge w:val="restart"/>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设备名称</w:t>
            </w:r>
          </w:p>
        </w:tc>
        <w:tc>
          <w:tcPr>
            <w:tcW w:w="2390" w:type="dxa"/>
            <w:gridSpan w:val="3"/>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214" w:type="dxa"/>
            <w:gridSpan w:val="3"/>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noWrap w:val="0"/>
            <w:vAlign w:val="top"/>
          </w:tcPr>
          <w:p>
            <w:pPr>
              <w:widowControl/>
              <w:jc w:val="left"/>
              <w:rPr>
                <w:rFonts w:hint="eastAsia" w:ascii="宋体" w:hAnsi="宋体" w:eastAsia="宋体" w:cs="宋体"/>
                <w:kern w:val="0"/>
                <w:sz w:val="18"/>
                <w:szCs w:val="18"/>
              </w:rPr>
            </w:pPr>
          </w:p>
        </w:tc>
        <w:tc>
          <w:tcPr>
            <w:tcW w:w="2249" w:type="dxa"/>
            <w:vMerge w:val="continue"/>
            <w:noWrap w:val="0"/>
            <w:vAlign w:val="center"/>
          </w:tcPr>
          <w:p>
            <w:pPr>
              <w:widowControl/>
              <w:jc w:val="left"/>
              <w:rPr>
                <w:rFonts w:hint="eastAsia" w:ascii="宋体" w:hAnsi="宋体" w:eastAsia="宋体" w:cs="宋体"/>
                <w:kern w:val="0"/>
                <w:sz w:val="18"/>
                <w:szCs w:val="18"/>
              </w:rPr>
            </w:pPr>
          </w:p>
        </w:tc>
        <w:tc>
          <w:tcPr>
            <w:tcW w:w="1047"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35"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128"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1134"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952"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224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256阵列相控阵天线</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c>
          <w:tcPr>
            <w:tcW w:w="224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32阵列相控阵天线</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c>
          <w:tcPr>
            <w:tcW w:w="224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4阵列相控阵天线</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c>
          <w:tcPr>
            <w:tcW w:w="2249"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远端相控阵天线</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default" w:ascii="宋体" w:hAnsi="宋体" w:cs="宋体"/>
                <w:sz w:val="18"/>
                <w:szCs w:val="18"/>
                <w:lang w:val="en-US" w:eastAsia="zh-CN"/>
              </w:rPr>
            </w:pPr>
            <w:r>
              <w:rPr>
                <w:rFonts w:hint="eastAsia" w:ascii="宋体" w:hAnsi="宋体" w:cs="宋体"/>
                <w:sz w:val="18"/>
                <w:szCs w:val="18"/>
                <w:lang w:val="en-US" w:eastAsia="zh-CN"/>
              </w:rPr>
              <w:t>5</w:t>
            </w:r>
          </w:p>
        </w:tc>
        <w:tc>
          <w:tcPr>
            <w:tcW w:w="2249"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256阵列相控阵主站模块</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6</w:t>
            </w:r>
          </w:p>
        </w:tc>
        <w:tc>
          <w:tcPr>
            <w:tcW w:w="224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32阵列相控阵主站模块</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noWrap w:val="0"/>
            <w:vAlign w:val="center"/>
          </w:tcPr>
          <w:p>
            <w:pPr>
              <w:adjustRightInd w:val="0"/>
              <w:snapToGrid w:val="0"/>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7</w:t>
            </w:r>
          </w:p>
        </w:tc>
        <w:tc>
          <w:tcPr>
            <w:tcW w:w="224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远端相控阵模块</w:t>
            </w:r>
          </w:p>
        </w:tc>
        <w:tc>
          <w:tcPr>
            <w:tcW w:w="1047" w:type="dxa"/>
            <w:noWrap w:val="0"/>
            <w:vAlign w:val="center"/>
          </w:tcPr>
          <w:p>
            <w:pPr>
              <w:widowControl/>
              <w:jc w:val="center"/>
              <w:rPr>
                <w:rFonts w:hint="eastAsia" w:ascii="宋体" w:hAnsi="宋体" w:eastAsia="宋体" w:cs="宋体"/>
                <w:color w:val="auto"/>
                <w:kern w:val="0"/>
                <w:sz w:val="18"/>
                <w:szCs w:val="18"/>
                <w:u w:val="none"/>
              </w:rPr>
            </w:pPr>
            <w:r>
              <w:rPr>
                <w:rFonts w:hint="eastAsia" w:ascii="宋体" w:hAnsi="宋体" w:cs="宋体"/>
                <w:color w:val="auto"/>
                <w:kern w:val="0"/>
                <w:sz w:val="18"/>
                <w:szCs w:val="18"/>
                <w:u w:val="none"/>
              </w:rPr>
              <w:t>符合参数要求</w:t>
            </w:r>
          </w:p>
        </w:tc>
        <w:tc>
          <w:tcPr>
            <w:tcW w:w="708"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c>
          <w:tcPr>
            <w:tcW w:w="635"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1128" w:type="dxa"/>
            <w:noWrap w:val="0"/>
            <w:vAlign w:val="center"/>
          </w:tcPr>
          <w:p>
            <w:pPr>
              <w:widowControl/>
              <w:jc w:val="center"/>
              <w:rPr>
                <w:rFonts w:hint="eastAsia" w:ascii="宋体" w:hAnsi="宋体" w:eastAsia="宋体" w:cs="宋体"/>
                <w:kern w:val="0"/>
                <w:sz w:val="18"/>
                <w:szCs w:val="18"/>
              </w:rPr>
            </w:pPr>
          </w:p>
        </w:tc>
        <w:tc>
          <w:tcPr>
            <w:tcW w:w="1134" w:type="dxa"/>
            <w:noWrap w:val="0"/>
            <w:vAlign w:val="center"/>
          </w:tcPr>
          <w:p>
            <w:pPr>
              <w:widowControl/>
              <w:jc w:val="center"/>
              <w:rPr>
                <w:rFonts w:hint="eastAsia" w:ascii="宋体" w:hAnsi="宋体" w:eastAsia="宋体" w:cs="宋体"/>
                <w:kern w:val="0"/>
                <w:sz w:val="18"/>
                <w:szCs w:val="18"/>
              </w:rPr>
            </w:pPr>
          </w:p>
        </w:tc>
        <w:tc>
          <w:tcPr>
            <w:tcW w:w="952" w:type="dxa"/>
            <w:noWrap w:val="0"/>
            <w:vAlign w:val="center"/>
          </w:tcPr>
          <w:p>
            <w:pPr>
              <w:widowControl/>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465" w:type="dxa"/>
            <w:gridSpan w:val="8"/>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 xml:space="preserve">注： </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36"/>
        <w:ind w:firstLine="420" w:firstLineChars="0"/>
        <w:jc w:val="center"/>
        <w:rPr>
          <w:rFonts w:hAnsi="宋体"/>
          <w:szCs w:val="21"/>
        </w:rPr>
      </w:pPr>
    </w:p>
    <w:p>
      <w:pPr>
        <w:rPr>
          <w:rFonts w:hint="eastAsia"/>
          <w:lang w:val="en-US" w:eastAsia="zh-CN"/>
        </w:rPr>
      </w:pPr>
    </w:p>
    <w:p>
      <w:pPr>
        <w:pStyle w:val="2"/>
        <w:rPr>
          <w:rFonts w:hint="eastAsia" w:ascii="宋体" w:hAnsi="宋体" w:eastAsia="宋体" w:cs="宋体"/>
          <w:sz w:val="21"/>
        </w:rPr>
      </w:pPr>
      <w:r>
        <w:rPr>
          <w:rFonts w:hint="eastAsia" w:ascii="宋体" w:hAnsi="宋体" w:eastAsia="宋体" w:cs="宋体"/>
          <w:sz w:val="21"/>
          <w:lang w:val="en-US" w:eastAsia="zh-CN"/>
        </w:rPr>
        <w:t xml:space="preserve">附录2 </w:t>
      </w:r>
      <w:r>
        <w:rPr>
          <w:rFonts w:hint="eastAsia" w:ascii="宋体" w:hAnsi="宋体" w:eastAsia="宋体" w:cs="宋体"/>
          <w:sz w:val="21"/>
        </w:rPr>
        <w:t>技术差异汇总</w:t>
      </w:r>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6"/>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 xml:space="preserve">  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pStyle w:val="2"/>
        <w:rPr>
          <w:rFonts w:hint="eastAsia" w:ascii="宋体" w:hAnsi="宋体" w:eastAsia="宋体" w:cs="宋体"/>
          <w:sz w:val="21"/>
        </w:rPr>
      </w:pPr>
      <w:r>
        <w:rPr>
          <w:rFonts w:hint="eastAsia" w:ascii="宋体" w:hAnsi="宋体" w:eastAsia="宋体" w:cs="宋体"/>
          <w:sz w:val="21"/>
          <w:lang w:val="en-US" w:eastAsia="zh-CN"/>
        </w:rPr>
        <w:t>附录3</w:t>
      </w:r>
      <w:r>
        <w:rPr>
          <w:rFonts w:hint="eastAsia" w:ascii="宋体" w:hAnsi="宋体" w:eastAsia="宋体" w:cs="宋体"/>
          <w:sz w:val="21"/>
        </w:rPr>
        <w:t>主要元器件来源</w:t>
      </w:r>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2"/>
        <w:rPr>
          <w:rFonts w:hint="eastAsia" w:ascii="宋体" w:hAnsi="宋体" w:eastAsia="宋体" w:cs="宋体"/>
          <w:sz w:val="21"/>
        </w:rPr>
      </w:pPr>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p>
    <w:p>
      <w:pPr>
        <w:pStyle w:val="36"/>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6"/>
        <w:rPr>
          <w:rFonts w:hint="eastAsia" w:ascii="宋体" w:hAnsi="宋体" w:eastAsia="宋体" w:cs="宋体"/>
        </w:rPr>
      </w:pPr>
      <w:r>
        <w:rPr>
          <w:rFonts w:hint="eastAsia" w:ascii="宋体" w:hAnsi="宋体" w:eastAsia="宋体" w:cs="宋体"/>
          <w:lang w:val="en-US" w:eastAsia="zh-CN"/>
        </w:rPr>
        <w:t>附表4</w:t>
      </w:r>
      <w:r>
        <w:rPr>
          <w:rFonts w:hint="eastAsia" w:hAnsi="宋体" w:cs="宋体"/>
          <w:lang w:val="en-US" w:eastAsia="zh-CN"/>
        </w:rPr>
        <w:t xml:space="preserve"> </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p>
      <w:pPr>
        <w:pStyle w:val="4"/>
        <w:rPr>
          <w:rFonts w:hint="eastAsia"/>
        </w:rPr>
      </w:pPr>
    </w:p>
    <w:p>
      <w:pPr>
        <w:pStyle w:val="4"/>
        <w:rPr>
          <w:rFonts w:hint="eastAsia"/>
        </w:rPr>
      </w:pPr>
    </w:p>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2434"/>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7071B14"/>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9DC3D6E"/>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216A6E"/>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6636F9"/>
    <w:rsid w:val="1C7A6BC9"/>
    <w:rsid w:val="1C9563AA"/>
    <w:rsid w:val="1C9D24FF"/>
    <w:rsid w:val="1CDB5B8E"/>
    <w:rsid w:val="1CF57C45"/>
    <w:rsid w:val="1CFE11EF"/>
    <w:rsid w:val="1CFF6D16"/>
    <w:rsid w:val="1D0D3BB9"/>
    <w:rsid w:val="1D300C7D"/>
    <w:rsid w:val="1D4110DC"/>
    <w:rsid w:val="1D882867"/>
    <w:rsid w:val="1D905BC0"/>
    <w:rsid w:val="1DBA49EB"/>
    <w:rsid w:val="1DC67833"/>
    <w:rsid w:val="1DD67A76"/>
    <w:rsid w:val="1DEE4952"/>
    <w:rsid w:val="1E012619"/>
    <w:rsid w:val="1E05035C"/>
    <w:rsid w:val="1E2D340E"/>
    <w:rsid w:val="1E6E4153"/>
    <w:rsid w:val="1E895B49"/>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782CE3"/>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1681D"/>
    <w:rsid w:val="25E20F82"/>
    <w:rsid w:val="25E90563"/>
    <w:rsid w:val="261750D0"/>
    <w:rsid w:val="261D1FBA"/>
    <w:rsid w:val="263E1317"/>
    <w:rsid w:val="26492DAF"/>
    <w:rsid w:val="265C2AE3"/>
    <w:rsid w:val="265E685B"/>
    <w:rsid w:val="26895D65"/>
    <w:rsid w:val="26FD2518"/>
    <w:rsid w:val="26FE003E"/>
    <w:rsid w:val="27023567"/>
    <w:rsid w:val="272555CB"/>
    <w:rsid w:val="27486F08"/>
    <w:rsid w:val="275B0FEC"/>
    <w:rsid w:val="277B51EB"/>
    <w:rsid w:val="27800A53"/>
    <w:rsid w:val="279B28DE"/>
    <w:rsid w:val="279F537D"/>
    <w:rsid w:val="27AC5CEC"/>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E82508"/>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1E5866"/>
    <w:rsid w:val="37737C8C"/>
    <w:rsid w:val="3777887D"/>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2A4CB9"/>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613867"/>
    <w:rsid w:val="3E7F160D"/>
    <w:rsid w:val="3E846C23"/>
    <w:rsid w:val="3E94330A"/>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0F3110D"/>
    <w:rsid w:val="41173D7E"/>
    <w:rsid w:val="41A75102"/>
    <w:rsid w:val="41BA3087"/>
    <w:rsid w:val="41C31810"/>
    <w:rsid w:val="41E2438C"/>
    <w:rsid w:val="42164036"/>
    <w:rsid w:val="424C5CAA"/>
    <w:rsid w:val="42FB6DBC"/>
    <w:rsid w:val="432602A9"/>
    <w:rsid w:val="43284021"/>
    <w:rsid w:val="43454BD3"/>
    <w:rsid w:val="434F15AD"/>
    <w:rsid w:val="43820849"/>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95CDB"/>
    <w:rsid w:val="45EB6BFD"/>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55652"/>
    <w:rsid w:val="487675DC"/>
    <w:rsid w:val="48C60564"/>
    <w:rsid w:val="48D12A65"/>
    <w:rsid w:val="48DF5182"/>
    <w:rsid w:val="48FC3F85"/>
    <w:rsid w:val="491E34DE"/>
    <w:rsid w:val="4933371F"/>
    <w:rsid w:val="493C25D4"/>
    <w:rsid w:val="49AD702E"/>
    <w:rsid w:val="49B52386"/>
    <w:rsid w:val="49E35145"/>
    <w:rsid w:val="4A16536B"/>
    <w:rsid w:val="4A1C23CF"/>
    <w:rsid w:val="4A895CED"/>
    <w:rsid w:val="4AB12B4E"/>
    <w:rsid w:val="4ACA1E61"/>
    <w:rsid w:val="4B174664"/>
    <w:rsid w:val="4B1F21AD"/>
    <w:rsid w:val="4B871B00"/>
    <w:rsid w:val="4B971D44"/>
    <w:rsid w:val="4B9A1834"/>
    <w:rsid w:val="4BB225EC"/>
    <w:rsid w:val="4BEA27BB"/>
    <w:rsid w:val="4C667968"/>
    <w:rsid w:val="4D1F0E1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6F863A0"/>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FD6C07"/>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BFC1846"/>
    <w:rsid w:val="5C255DBF"/>
    <w:rsid w:val="5C3B496D"/>
    <w:rsid w:val="5C46319A"/>
    <w:rsid w:val="5C64511C"/>
    <w:rsid w:val="5C6A7000"/>
    <w:rsid w:val="5C712EAE"/>
    <w:rsid w:val="5C9316A9"/>
    <w:rsid w:val="5CB14C2F"/>
    <w:rsid w:val="5CB20ECB"/>
    <w:rsid w:val="5CC6692D"/>
    <w:rsid w:val="5CD56B70"/>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42877"/>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606BD"/>
    <w:rsid w:val="637F1B3E"/>
    <w:rsid w:val="63CE60C7"/>
    <w:rsid w:val="63DB3FE0"/>
    <w:rsid w:val="63DE25DA"/>
    <w:rsid w:val="63E63410"/>
    <w:rsid w:val="6424218B"/>
    <w:rsid w:val="64250B7E"/>
    <w:rsid w:val="64354398"/>
    <w:rsid w:val="64682077"/>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627EC"/>
    <w:rsid w:val="69F745C9"/>
    <w:rsid w:val="69F866F7"/>
    <w:rsid w:val="6A045398"/>
    <w:rsid w:val="6A3A6264"/>
    <w:rsid w:val="6A4E3ABD"/>
    <w:rsid w:val="6A537326"/>
    <w:rsid w:val="6A5C0935"/>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1F7932A"/>
    <w:rsid w:val="72575AC4"/>
    <w:rsid w:val="72693B8A"/>
    <w:rsid w:val="727D7636"/>
    <w:rsid w:val="72A20E4A"/>
    <w:rsid w:val="72C2329A"/>
    <w:rsid w:val="72CC236B"/>
    <w:rsid w:val="72CE7E91"/>
    <w:rsid w:val="72D134DE"/>
    <w:rsid w:val="72E15E16"/>
    <w:rsid w:val="73010267"/>
    <w:rsid w:val="7309711B"/>
    <w:rsid w:val="737913DE"/>
    <w:rsid w:val="739F3D64"/>
    <w:rsid w:val="73B13A3B"/>
    <w:rsid w:val="73BE1CB4"/>
    <w:rsid w:val="73BE7F06"/>
    <w:rsid w:val="73C073AB"/>
    <w:rsid w:val="73CA68AB"/>
    <w:rsid w:val="73D00F12"/>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F26089"/>
    <w:rsid w:val="7F0B7D77"/>
    <w:rsid w:val="7F536173"/>
    <w:rsid w:val="7F6F0306"/>
    <w:rsid w:val="7F912972"/>
    <w:rsid w:val="7FB65F35"/>
    <w:rsid w:val="7FC20D7E"/>
    <w:rsid w:val="7FFF168A"/>
    <w:rsid w:val="B734D3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5525</Words>
  <Characters>6005</Characters>
  <Lines>130</Lines>
  <Paragraphs>36</Paragraphs>
  <TotalTime>0</TotalTime>
  <ScaleCrop>false</ScaleCrop>
  <LinksUpToDate>false</LinksUpToDate>
  <CharactersWithSpaces>6202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2024-07-03T15:00:00Z</dcterms:created>
  <dc:creator>MSI-NB</dc:creator>
  <cp:lastModifiedBy>俞汶希</cp:lastModifiedBy>
  <dcterms:modified xsi:type="dcterms:W3CDTF">2025-09-29T09:06:05Z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E5E56788DC43497E904C063F61141659_13</vt:lpwstr>
  </property>
  <property fmtid="{D5CDD505-2E9C-101B-9397-08002B2CF9AE}" pid="4" name="KSOTemplateDocerSaveRecord">
    <vt:lpwstr>eyJoZGlkIjoiYzdiNzVkMTA2ZDg2MzM3MDU5Y2Y2NTYyNGViOGUzMGQiLCJ1c2VySWQiOiIyOTA1NTY2MDIifQ==</vt:lpwstr>
  </property>
</Properties>
</file>