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80" w:beforeLines="200"/>
        <w:jc w:val="center"/>
        <w:rPr>
          <w:rFonts w:eastAsia="黑体"/>
          <w:b/>
          <w:sz w:val="52"/>
        </w:rPr>
      </w:pPr>
      <w:bookmarkStart w:id="0" w:name="_Hlk173177775"/>
      <w:r>
        <w:drawing>
          <wp:anchor distT="0" distB="0" distL="114300" distR="114300" simplePos="0" relativeHeight="251659264" behindDoc="1" locked="0" layoutInCell="1" allowOverlap="1">
            <wp:simplePos x="0" y="0"/>
            <wp:positionH relativeFrom="page">
              <wp:posOffset>-104775</wp:posOffset>
            </wp:positionH>
            <wp:positionV relativeFrom="paragraph">
              <wp:posOffset>-1020445</wp:posOffset>
            </wp:positionV>
            <wp:extent cx="7386320" cy="3157220"/>
            <wp:effectExtent l="0" t="0" r="5080" b="1270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9"/>
                    <a:srcRect b="58476"/>
                    <a:stretch>
                      <a:fillRect/>
                    </a:stretch>
                  </pic:blipFill>
                  <pic:spPr>
                    <a:xfrm>
                      <a:off x="0" y="0"/>
                      <a:ext cx="7386320" cy="3157220"/>
                    </a:xfrm>
                    <a:prstGeom prst="rect">
                      <a:avLst/>
                    </a:prstGeom>
                    <a:noFill/>
                    <a:ln>
                      <a:noFill/>
                    </a:ln>
                  </pic:spPr>
                </pic:pic>
              </a:graphicData>
            </a:graphic>
          </wp:anchor>
        </w:drawing>
      </w:r>
    </w:p>
    <w:p>
      <w:pPr>
        <w:spacing w:before="480" w:beforeLines="200"/>
        <w:jc w:val="center"/>
        <w:rPr>
          <w:rFonts w:eastAsia="黑体"/>
          <w:b/>
          <w:sz w:val="52"/>
        </w:rPr>
      </w:pPr>
      <w:r>
        <w:drawing>
          <wp:anchor distT="0" distB="0" distL="114300" distR="114300" simplePos="0" relativeHeight="251660288" behindDoc="0" locked="0" layoutInCell="1" allowOverlap="1">
            <wp:simplePos x="0" y="0"/>
            <wp:positionH relativeFrom="page">
              <wp:posOffset>378460</wp:posOffset>
            </wp:positionH>
            <wp:positionV relativeFrom="paragraph">
              <wp:posOffset>89535</wp:posOffset>
            </wp:positionV>
            <wp:extent cx="3459480" cy="813435"/>
            <wp:effectExtent l="0" t="0" r="0" b="9525"/>
            <wp:wrapNone/>
            <wp:docPr id="6"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说明: 中国南方电网公司---横向标准组合"/>
                    <pic:cNvPicPr>
                      <a:picLocks noChangeAspect="1"/>
                    </pic:cNvPicPr>
                  </pic:nvPicPr>
                  <pic:blipFill>
                    <a:blip r:embed="rId10"/>
                    <a:stretch>
                      <a:fillRect/>
                    </a:stretch>
                  </pic:blipFill>
                  <pic:spPr>
                    <a:xfrm>
                      <a:off x="0" y="0"/>
                      <a:ext cx="3459480" cy="813435"/>
                    </a:xfrm>
                    <a:prstGeom prst="rect">
                      <a:avLst/>
                    </a:prstGeom>
                    <a:noFill/>
                    <a:ln>
                      <a:noFill/>
                    </a:ln>
                  </pic:spPr>
                </pic:pic>
              </a:graphicData>
            </a:graphic>
          </wp:anchor>
        </w:drawing>
      </w:r>
    </w:p>
    <w:p>
      <w:pPr>
        <w:spacing w:before="156"/>
        <w:rPr>
          <w:rFonts w:eastAsia="黑体"/>
          <w:b/>
          <w:sz w:val="52"/>
        </w:rPr>
      </w:pPr>
    </w:p>
    <w:p>
      <w:pPr>
        <w:spacing w:before="156"/>
        <w:jc w:val="center"/>
        <w:rPr>
          <w:rFonts w:ascii="宋体" w:hAnsi="宋体"/>
          <w:sz w:val="52"/>
          <w:szCs w:val="52"/>
        </w:rPr>
      </w:pPr>
    </w:p>
    <w:p>
      <w:pPr>
        <w:spacing w:line="24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南方电网2025年第</w:t>
      </w:r>
      <w:r>
        <w:rPr>
          <w:rFonts w:hint="eastAsia" w:ascii="微软雅黑" w:hAnsi="微软雅黑" w:eastAsia="微软雅黑" w:cs="微软雅黑"/>
          <w:b w:val="0"/>
          <w:bCs/>
          <w:sz w:val="48"/>
          <w:szCs w:val="48"/>
          <w:lang w:val="en-US" w:eastAsia="zh-CN"/>
        </w:rPr>
        <w:t>二</w:t>
      </w:r>
      <w:r>
        <w:rPr>
          <w:rFonts w:hint="eastAsia" w:ascii="微软雅黑" w:hAnsi="微软雅黑" w:eastAsia="微软雅黑" w:cs="微软雅黑"/>
          <w:b w:val="0"/>
          <w:bCs/>
          <w:sz w:val="48"/>
          <w:szCs w:val="48"/>
        </w:rPr>
        <w:t>批无人机设备及相关附件框架采购项目</w:t>
      </w:r>
    </w:p>
    <w:p>
      <w:pPr>
        <w:spacing w:line="240" w:lineRule="auto"/>
        <w:jc w:val="center"/>
        <w:rPr>
          <w:rFonts w:hint="eastAsia" w:ascii="微软雅黑" w:hAnsi="微软雅黑" w:eastAsia="微软雅黑" w:cs="微软雅黑"/>
          <w:b w:val="0"/>
          <w:bCs/>
          <w:sz w:val="48"/>
          <w:szCs w:val="48"/>
          <w:lang w:val="en-US" w:eastAsia="zh-CN"/>
        </w:rPr>
      </w:pPr>
      <w:r>
        <w:rPr>
          <w:rFonts w:hint="eastAsia" w:ascii="微软雅黑" w:hAnsi="微软雅黑" w:eastAsia="微软雅黑" w:cs="微软雅黑"/>
          <w:b w:val="0"/>
          <w:bCs/>
          <w:sz w:val="48"/>
          <w:szCs w:val="48"/>
        </w:rPr>
        <w:t>技术</w:t>
      </w:r>
      <w:r>
        <w:rPr>
          <w:rFonts w:hint="eastAsia" w:ascii="微软雅黑" w:hAnsi="微软雅黑" w:eastAsia="微软雅黑" w:cs="微软雅黑"/>
          <w:b w:val="0"/>
          <w:bCs/>
          <w:sz w:val="48"/>
          <w:szCs w:val="48"/>
          <w:lang w:val="en-US" w:eastAsia="zh-CN"/>
        </w:rPr>
        <w:t>规范书</w:t>
      </w:r>
    </w:p>
    <w:p>
      <w:pPr>
        <w:spacing w:line="240" w:lineRule="auto"/>
        <w:jc w:val="center"/>
        <w:rPr>
          <w:rFonts w:hint="eastAsia" w:ascii="微软雅黑" w:hAnsi="微软雅黑" w:eastAsia="微软雅黑" w:cs="微软雅黑"/>
          <w:b w:val="0"/>
          <w:bCs/>
          <w:sz w:val="48"/>
          <w:szCs w:val="48"/>
          <w:lang w:eastAsia="zh-CN"/>
        </w:rPr>
      </w:pPr>
      <w:r>
        <w:rPr>
          <w:rFonts w:hint="eastAsia" w:ascii="微软雅黑" w:hAnsi="微软雅黑" w:eastAsia="微软雅黑" w:cs="微软雅黑"/>
          <w:b w:val="0"/>
          <w:bCs/>
          <w:sz w:val="48"/>
          <w:szCs w:val="48"/>
          <w:lang w:eastAsia="zh-CN"/>
        </w:rPr>
        <w:t>（</w:t>
      </w:r>
      <w:r>
        <w:rPr>
          <w:rFonts w:hint="eastAsia" w:ascii="微软雅黑" w:hAnsi="微软雅黑" w:eastAsia="微软雅黑" w:cs="微软雅黑"/>
          <w:b w:val="0"/>
          <w:bCs/>
          <w:sz w:val="48"/>
          <w:szCs w:val="48"/>
        </w:rPr>
        <w:t>无人机紫外云台挂载及其相关附件</w:t>
      </w:r>
      <w:r>
        <w:rPr>
          <w:rFonts w:hint="eastAsia" w:ascii="微软雅黑" w:hAnsi="微软雅黑" w:eastAsia="微软雅黑" w:cs="微软雅黑"/>
          <w:b w:val="0"/>
          <w:bCs/>
          <w:sz w:val="48"/>
          <w:szCs w:val="48"/>
          <w:lang w:eastAsia="zh-CN"/>
        </w:rPr>
        <w:t>）</w:t>
      </w:r>
    </w:p>
    <w:p>
      <w:pPr>
        <w:spacing w:line="360" w:lineRule="auto"/>
        <w:contextualSpacing/>
        <w:jc w:val="center"/>
      </w:pPr>
      <w:bookmarkStart w:id="1" w:name="_Hlk173177728"/>
    </w:p>
    <w:p>
      <w:pPr>
        <w:spacing w:line="360" w:lineRule="auto"/>
        <w:contextualSpacing/>
        <w:jc w:val="center"/>
      </w:pPr>
    </w:p>
    <w:p>
      <w:pPr>
        <w:spacing w:line="360" w:lineRule="auto"/>
        <w:contextualSpacing/>
        <w:jc w:val="center"/>
      </w:pPr>
    </w:p>
    <w:p>
      <w:pPr>
        <w:spacing w:line="360" w:lineRule="auto"/>
        <w:contextualSpacing/>
        <w:jc w:val="center"/>
      </w:pPr>
    </w:p>
    <w:p>
      <w:pPr>
        <w:spacing w:line="360" w:lineRule="auto"/>
        <w:contextualSpacing/>
        <w:jc w:val="center"/>
      </w:pPr>
    </w:p>
    <w:p>
      <w:pPr>
        <w:spacing w:line="360" w:lineRule="auto"/>
        <w:contextualSpacing/>
        <w:jc w:val="center"/>
      </w:pPr>
    </w:p>
    <w:p>
      <w:pPr>
        <w:spacing w:line="360" w:lineRule="auto"/>
        <w:contextualSpacing/>
        <w:jc w:val="center"/>
      </w:pPr>
    </w:p>
    <w:p>
      <w:pPr>
        <w:spacing w:after="0" w:line="360" w:lineRule="auto"/>
        <w:jc w:val="center"/>
        <w:rPr>
          <w:rFonts w:hint="eastAsia" w:ascii="宋体" w:hAnsi="宋体" w:eastAsia="宋体" w:cs="宋体"/>
          <w:sz w:val="32"/>
          <w:szCs w:val="32"/>
        </w:rPr>
      </w:pPr>
      <w:r>
        <w:rPr>
          <w:rFonts w:hint="eastAsia" w:ascii="宋体" w:hAnsi="宋体" w:eastAsia="宋体" w:cs="宋体"/>
          <w:sz w:val="32"/>
          <w:szCs w:val="32"/>
        </w:rPr>
        <w:t>南方电网通用航空服务有限公司</w:t>
      </w:r>
    </w:p>
    <w:p>
      <w:pPr>
        <w:spacing w:after="0" w:line="360" w:lineRule="auto"/>
        <w:rPr>
          <w:rFonts w:hint="eastAsia" w:ascii="宋体" w:hAnsi="宋体" w:eastAsia="宋体" w:cs="宋体"/>
          <w:sz w:val="32"/>
          <w:szCs w:val="32"/>
        </w:rPr>
      </w:pPr>
    </w:p>
    <w:bookmarkEnd w:id="1"/>
    <w:p>
      <w:pPr>
        <w:spacing w:after="0" w:line="360" w:lineRule="auto"/>
        <w:jc w:val="center"/>
        <w:rPr>
          <w:rFonts w:hint="eastAsia" w:ascii="宋体" w:hAnsi="宋体" w:eastAsia="宋体" w:cs="宋体"/>
          <w:sz w:val="32"/>
          <w:szCs w:val="32"/>
        </w:rPr>
      </w:pPr>
      <w:r>
        <w:rPr>
          <w:rFonts w:hint="eastAsia" w:ascii="宋体" w:hAnsi="宋体" w:eastAsia="宋体" w:cs="宋体"/>
          <w:sz w:val="32"/>
          <w:szCs w:val="32"/>
        </w:rPr>
        <w:t>2025年</w:t>
      </w:r>
      <w:r>
        <w:rPr>
          <w:rFonts w:hint="eastAsia" w:ascii="宋体" w:hAnsi="宋体" w:cs="宋体"/>
          <w:sz w:val="32"/>
          <w:szCs w:val="32"/>
          <w:lang w:val="en-US" w:eastAsia="zh-CN"/>
        </w:rPr>
        <w:t>7</w:t>
      </w:r>
      <w:r>
        <w:rPr>
          <w:rFonts w:hint="eastAsia" w:ascii="宋体" w:hAnsi="宋体" w:eastAsia="宋体" w:cs="宋体"/>
          <w:sz w:val="32"/>
          <w:szCs w:val="32"/>
        </w:rPr>
        <w:t>月</w:t>
      </w:r>
    </w:p>
    <w:p>
      <w:pPr>
        <w:pStyle w:val="11"/>
        <w:tabs>
          <w:tab w:val="right" w:leader="dot" w:pos="8296"/>
        </w:tabs>
      </w:pPr>
    </w:p>
    <w:bookmarkEnd w:id="0"/>
    <w:p>
      <w:pPr>
        <w:pStyle w:val="7"/>
        <w:outlineLvl w:val="9"/>
        <w:sectPr>
          <w:pgSz w:w="11911" w:h="16838"/>
          <w:pgMar w:top="1582" w:right="1060" w:bottom="278" w:left="1502" w:header="720" w:footer="720" w:gutter="0"/>
          <w:pgNumType w:fmt="decimal" w:start="1"/>
          <w:cols w:space="720" w:num="1"/>
          <w:docGrid w:linePitch="312" w:charSpace="0"/>
        </w:sectPr>
      </w:pPr>
    </w:p>
    <w:sdt>
      <w:sdtPr>
        <w:rPr>
          <w:rFonts w:ascii="宋体" w:hAnsi="宋体" w:eastAsia="宋体" w:cs="Times New Roman"/>
          <w:kern w:val="2"/>
          <w:sz w:val="21"/>
          <w:szCs w:val="22"/>
          <w:lang w:val="en-US" w:eastAsia="zh-CN" w:bidi="ar-SA"/>
        </w:rPr>
        <w:id w:val="147458132"/>
        <w15:color w:val="DBDBDB"/>
        <w:docPartObj>
          <w:docPartGallery w:val="Table of Contents"/>
          <w:docPartUnique/>
        </w:docPartObj>
      </w:sdtPr>
      <w:sdtEndPr>
        <w:rPr>
          <w:rFonts w:cs="Times New Roman" w:asciiTheme="minorEastAsia" w:hAnsiTheme="minorEastAsia" w:eastAsiaTheme="minorEastAsia"/>
          <w:b/>
          <w:bCs/>
          <w:kern w:val="2"/>
          <w:sz w:val="28"/>
          <w:szCs w:val="28"/>
          <w:lang w:val="en-US" w:eastAsia="zh-CN" w:bidi="ar-SA"/>
        </w:rPr>
      </w:sdtEndPr>
      <w:sdtContent>
        <w:p>
          <w:pPr>
            <w:spacing w:before="0" w:beforeLines="0" w:after="0" w:afterLines="0" w:line="240" w:lineRule="auto"/>
            <w:ind w:left="0" w:leftChars="0" w:right="0" w:rightChars="0" w:firstLine="0" w:firstLineChars="0"/>
            <w:jc w:val="center"/>
            <w:rPr>
              <w:sz w:val="44"/>
              <w:szCs w:val="48"/>
            </w:rPr>
          </w:pPr>
          <w:bookmarkStart w:id="2" w:name="_Toc23553"/>
          <w:bookmarkStart w:id="3" w:name="_Toc300067963"/>
          <w:bookmarkStart w:id="4" w:name="_Toc24628"/>
          <w:r>
            <w:rPr>
              <w:rFonts w:ascii="宋体" w:hAnsi="宋体" w:eastAsia="宋体"/>
              <w:sz w:val="44"/>
              <w:szCs w:val="48"/>
            </w:rPr>
            <w:t>目录</w:t>
          </w:r>
        </w:p>
        <w:p>
          <w:pPr>
            <w:pStyle w:val="11"/>
            <w:tabs>
              <w:tab w:val="right" w:leader="dot" w:pos="9026"/>
            </w:tabs>
          </w:pPr>
          <w:r>
            <w:rPr>
              <w:sz w:val="21"/>
            </w:rPr>
            <w:fldChar w:fldCharType="begin"/>
          </w:r>
          <w:r>
            <w:rPr>
              <w:sz w:val="21"/>
            </w:rPr>
            <w:instrText xml:space="preserve">TOC \o "1-1" \h \u </w:instrText>
          </w:r>
          <w:r>
            <w:rPr>
              <w:sz w:val="21"/>
            </w:rPr>
            <w:fldChar w:fldCharType="separate"/>
          </w:r>
          <w:r>
            <w:fldChar w:fldCharType="begin"/>
          </w:r>
          <w:r>
            <w:instrText xml:space="preserve"> HYPERLINK \l _Toc4687 </w:instrText>
          </w:r>
          <w:r>
            <w:fldChar w:fldCharType="separate"/>
          </w:r>
          <w:r>
            <w:t xml:space="preserve">1 </w:t>
          </w:r>
          <w:r>
            <w:rPr>
              <w:rFonts w:hint="eastAsia"/>
            </w:rPr>
            <w:t>一般规定</w:t>
          </w:r>
          <w:r>
            <w:tab/>
          </w:r>
          <w:r>
            <w:fldChar w:fldCharType="begin"/>
          </w:r>
          <w:r>
            <w:instrText xml:space="preserve"> PAGEREF _Toc4687 \h </w:instrText>
          </w:r>
          <w:r>
            <w:fldChar w:fldCharType="separate"/>
          </w:r>
          <w:r>
            <w:t>1</w:t>
          </w:r>
          <w:r>
            <w:fldChar w:fldCharType="end"/>
          </w:r>
          <w:r>
            <w:fldChar w:fldCharType="end"/>
          </w:r>
        </w:p>
        <w:p>
          <w:pPr>
            <w:pStyle w:val="11"/>
            <w:tabs>
              <w:tab w:val="right" w:leader="dot" w:pos="9026"/>
            </w:tabs>
          </w:pPr>
          <w:r>
            <w:fldChar w:fldCharType="begin"/>
          </w:r>
          <w:r>
            <w:instrText xml:space="preserve"> HYPERLINK \l _Toc19112 </w:instrText>
          </w:r>
          <w:r>
            <w:fldChar w:fldCharType="separate"/>
          </w:r>
          <w:r>
            <w:t>2技术文件</w:t>
          </w:r>
          <w:r>
            <w:rPr>
              <w:rFonts w:hint="eastAsia"/>
            </w:rPr>
            <w:t>的组成</w:t>
          </w:r>
          <w:r>
            <w:tab/>
          </w:r>
          <w:r>
            <w:fldChar w:fldCharType="begin"/>
          </w:r>
          <w:r>
            <w:instrText xml:space="preserve"> PAGEREF _Toc19112 \h </w:instrText>
          </w:r>
          <w:r>
            <w:fldChar w:fldCharType="separate"/>
          </w:r>
          <w:r>
            <w:t>1</w:t>
          </w:r>
          <w:r>
            <w:fldChar w:fldCharType="end"/>
          </w:r>
          <w:r>
            <w:fldChar w:fldCharType="end"/>
          </w:r>
        </w:p>
        <w:p>
          <w:pPr>
            <w:pStyle w:val="11"/>
            <w:tabs>
              <w:tab w:val="right" w:leader="dot" w:pos="9026"/>
            </w:tabs>
          </w:pPr>
          <w:r>
            <w:fldChar w:fldCharType="begin"/>
          </w:r>
          <w:r>
            <w:instrText xml:space="preserve"> HYPERLINK \l _Toc22625 </w:instrText>
          </w:r>
          <w:r>
            <w:fldChar w:fldCharType="separate"/>
          </w:r>
          <w:r>
            <w:rPr>
              <w:rFonts w:hint="eastAsia" w:ascii="宋体" w:hAnsi="宋体" w:eastAsia="宋体" w:cs="宋体"/>
            </w:rPr>
            <w:t>3技术要求</w:t>
          </w:r>
          <w:r>
            <w:tab/>
          </w:r>
          <w:r>
            <w:fldChar w:fldCharType="begin"/>
          </w:r>
          <w:r>
            <w:instrText xml:space="preserve"> PAGEREF _Toc22625 \h </w:instrText>
          </w:r>
          <w:r>
            <w:fldChar w:fldCharType="separate"/>
          </w:r>
          <w:r>
            <w:t>2</w:t>
          </w:r>
          <w:r>
            <w:fldChar w:fldCharType="end"/>
          </w:r>
          <w:r>
            <w:fldChar w:fldCharType="end"/>
          </w:r>
        </w:p>
        <w:p>
          <w:pPr>
            <w:pStyle w:val="11"/>
            <w:tabs>
              <w:tab w:val="right" w:leader="dot" w:pos="9026"/>
            </w:tabs>
          </w:pPr>
          <w:r>
            <w:fldChar w:fldCharType="begin"/>
          </w:r>
          <w:r>
            <w:instrText xml:space="preserve"> HYPERLINK \l _Toc15579 </w:instrText>
          </w:r>
          <w:r>
            <w:fldChar w:fldCharType="separate"/>
          </w:r>
          <w:r>
            <w:rPr>
              <w:rFonts w:hint="eastAsia" w:ascii="宋体" w:hAnsi="宋体" w:eastAsia="宋体" w:cs="宋体"/>
            </w:rPr>
            <w:t>4包装和运输</w:t>
          </w:r>
          <w:r>
            <w:tab/>
          </w:r>
          <w:r>
            <w:fldChar w:fldCharType="begin"/>
          </w:r>
          <w:r>
            <w:instrText xml:space="preserve"> PAGEREF _Toc15579 \h </w:instrText>
          </w:r>
          <w:r>
            <w:fldChar w:fldCharType="separate"/>
          </w:r>
          <w:r>
            <w:t>7</w:t>
          </w:r>
          <w:r>
            <w:fldChar w:fldCharType="end"/>
          </w:r>
          <w:r>
            <w:fldChar w:fldCharType="end"/>
          </w:r>
        </w:p>
        <w:p>
          <w:pPr>
            <w:pStyle w:val="11"/>
            <w:tabs>
              <w:tab w:val="right" w:leader="dot" w:pos="9026"/>
            </w:tabs>
          </w:pPr>
          <w:r>
            <w:fldChar w:fldCharType="begin"/>
          </w:r>
          <w:r>
            <w:instrText xml:space="preserve"> HYPERLINK \l _Toc4269 </w:instrText>
          </w:r>
          <w:r>
            <w:fldChar w:fldCharType="separate"/>
          </w:r>
          <w:r>
            <w:rPr>
              <w:rFonts w:hint="eastAsia" w:ascii="宋体" w:hAnsi="宋体" w:eastAsia="宋体" w:cs="宋体"/>
            </w:rPr>
            <w:t>5技术服务</w:t>
          </w:r>
          <w:r>
            <w:tab/>
          </w:r>
          <w:r>
            <w:fldChar w:fldCharType="begin"/>
          </w:r>
          <w:r>
            <w:instrText xml:space="preserve"> PAGEREF _Toc4269 \h </w:instrText>
          </w:r>
          <w:r>
            <w:fldChar w:fldCharType="separate"/>
          </w:r>
          <w:r>
            <w:t>7</w:t>
          </w:r>
          <w:r>
            <w:fldChar w:fldCharType="end"/>
          </w:r>
          <w:r>
            <w:fldChar w:fldCharType="end"/>
          </w:r>
        </w:p>
        <w:p>
          <w:pPr>
            <w:pStyle w:val="11"/>
            <w:tabs>
              <w:tab w:val="right" w:leader="dot" w:pos="9026"/>
            </w:tabs>
          </w:pPr>
          <w:r>
            <w:fldChar w:fldCharType="begin"/>
          </w:r>
          <w:r>
            <w:instrText xml:space="preserve"> HYPERLINK \l _Toc30677 </w:instrText>
          </w:r>
          <w:r>
            <w:fldChar w:fldCharType="separate"/>
          </w:r>
          <w:r>
            <w:rPr>
              <w:rFonts w:hint="eastAsia" w:ascii="宋体" w:hAnsi="宋体" w:eastAsia="宋体" w:cs="宋体"/>
            </w:rPr>
            <w:t>6质量保证和试验</w:t>
          </w:r>
          <w:r>
            <w:tab/>
          </w:r>
          <w:r>
            <w:fldChar w:fldCharType="begin"/>
          </w:r>
          <w:r>
            <w:instrText xml:space="preserve"> PAGEREF _Toc30677 \h </w:instrText>
          </w:r>
          <w:r>
            <w:fldChar w:fldCharType="separate"/>
          </w:r>
          <w:r>
            <w:t>8</w:t>
          </w:r>
          <w:r>
            <w:fldChar w:fldCharType="end"/>
          </w:r>
          <w:r>
            <w:fldChar w:fldCharType="end"/>
          </w:r>
        </w:p>
        <w:p>
          <w:pPr>
            <w:pStyle w:val="11"/>
            <w:tabs>
              <w:tab w:val="right" w:leader="dot" w:pos="9026"/>
            </w:tabs>
          </w:pPr>
          <w:r>
            <w:fldChar w:fldCharType="begin"/>
          </w:r>
          <w:r>
            <w:instrText xml:space="preserve"> HYPERLINK \l _Toc1129 </w:instrText>
          </w:r>
          <w:r>
            <w:fldChar w:fldCharType="separate"/>
          </w:r>
          <w:r>
            <w:rPr>
              <w:rFonts w:hint="eastAsia" w:ascii="宋体" w:hAnsi="宋体" w:eastAsia="宋体" w:cs="宋体"/>
            </w:rPr>
            <w:t>7设备验收</w:t>
          </w:r>
          <w:r>
            <w:tab/>
          </w:r>
          <w:r>
            <w:fldChar w:fldCharType="begin"/>
          </w:r>
          <w:r>
            <w:instrText xml:space="preserve"> PAGEREF _Toc1129 \h </w:instrText>
          </w:r>
          <w:r>
            <w:fldChar w:fldCharType="separate"/>
          </w:r>
          <w:r>
            <w:t>9</w:t>
          </w:r>
          <w:r>
            <w:fldChar w:fldCharType="end"/>
          </w:r>
          <w:r>
            <w:fldChar w:fldCharType="end"/>
          </w:r>
        </w:p>
        <w:p>
          <w:pPr>
            <w:pStyle w:val="11"/>
            <w:tabs>
              <w:tab w:val="right" w:leader="dot" w:pos="9026"/>
            </w:tabs>
          </w:pPr>
          <w:r>
            <w:fldChar w:fldCharType="begin"/>
          </w:r>
          <w:r>
            <w:instrText xml:space="preserve"> HYPERLINK \l _Toc675 </w:instrText>
          </w:r>
          <w:r>
            <w:fldChar w:fldCharType="separate"/>
          </w:r>
          <w:r>
            <w:rPr>
              <w:rFonts w:hint="eastAsia" w:ascii="宋体" w:hAnsi="宋体" w:eastAsia="宋体" w:cs="宋体"/>
              <w:lang w:val="en-US" w:eastAsia="zh-CN"/>
            </w:rPr>
            <w:t>附录</w:t>
          </w:r>
          <w:r>
            <w:tab/>
          </w:r>
          <w:r>
            <w:fldChar w:fldCharType="begin"/>
          </w:r>
          <w:r>
            <w:instrText xml:space="preserve"> PAGEREF _Toc675 \h </w:instrText>
          </w:r>
          <w:r>
            <w:fldChar w:fldCharType="separate"/>
          </w:r>
          <w:r>
            <w:t>9</w:t>
          </w:r>
          <w:r>
            <w:fldChar w:fldCharType="end"/>
          </w:r>
          <w:r>
            <w:fldChar w:fldCharType="end"/>
          </w:r>
        </w:p>
        <w:p>
          <w:pPr>
            <w:pStyle w:val="11"/>
            <w:tabs>
              <w:tab w:val="right" w:leader="dot" w:pos="9026"/>
            </w:tabs>
          </w:pPr>
          <w:r>
            <w:fldChar w:fldCharType="begin"/>
          </w:r>
          <w:r>
            <w:instrText xml:space="preserve"> HYPERLINK \l _Toc29701 </w:instrText>
          </w:r>
          <w:r>
            <w:fldChar w:fldCharType="separate"/>
          </w:r>
          <w:r>
            <w:rPr>
              <w:rFonts w:hint="eastAsia" w:ascii="宋体" w:hAnsi="宋体" w:eastAsia="宋体" w:cs="宋体"/>
              <w:lang w:val="en-US" w:eastAsia="zh-CN"/>
            </w:rPr>
            <w:t>附录1</w:t>
          </w:r>
          <w:r>
            <w:rPr>
              <w:rFonts w:hint="eastAsia" w:ascii="宋体" w:hAnsi="宋体" w:eastAsia="宋体" w:cs="宋体"/>
            </w:rPr>
            <w:t>供货范围</w:t>
          </w:r>
          <w:r>
            <w:tab/>
          </w:r>
          <w:r>
            <w:fldChar w:fldCharType="begin"/>
          </w:r>
          <w:r>
            <w:instrText xml:space="preserve"> PAGEREF _Toc29701 \h </w:instrText>
          </w:r>
          <w:r>
            <w:fldChar w:fldCharType="separate"/>
          </w:r>
          <w:r>
            <w:t>9</w:t>
          </w:r>
          <w:r>
            <w:fldChar w:fldCharType="end"/>
          </w:r>
          <w:r>
            <w:fldChar w:fldCharType="end"/>
          </w:r>
        </w:p>
        <w:p>
          <w:pPr>
            <w:pStyle w:val="11"/>
            <w:tabs>
              <w:tab w:val="right" w:leader="dot" w:pos="9026"/>
            </w:tabs>
          </w:pPr>
          <w:r>
            <w:fldChar w:fldCharType="begin"/>
          </w:r>
          <w:r>
            <w:instrText xml:space="preserve"> HYPERLINK \l _Toc5088 </w:instrText>
          </w:r>
          <w:r>
            <w:fldChar w:fldCharType="separate"/>
          </w:r>
          <w:r>
            <w:rPr>
              <w:rFonts w:hint="eastAsia" w:ascii="宋体" w:hAnsi="宋体" w:eastAsia="宋体" w:cs="宋体"/>
              <w:lang w:val="en-US" w:eastAsia="zh-CN"/>
            </w:rPr>
            <w:t>附录2</w:t>
          </w:r>
          <w:r>
            <w:rPr>
              <w:rFonts w:hint="eastAsia" w:ascii="宋体" w:hAnsi="宋体" w:eastAsia="宋体" w:cs="宋体"/>
            </w:rPr>
            <w:t>技术差异汇总</w:t>
          </w:r>
          <w:r>
            <w:tab/>
          </w:r>
          <w:r>
            <w:fldChar w:fldCharType="begin"/>
          </w:r>
          <w:r>
            <w:instrText xml:space="preserve"> PAGEREF _Toc5088 \h </w:instrText>
          </w:r>
          <w:r>
            <w:fldChar w:fldCharType="separate"/>
          </w:r>
          <w:r>
            <w:t>10</w:t>
          </w:r>
          <w:r>
            <w:fldChar w:fldCharType="end"/>
          </w:r>
          <w:r>
            <w:fldChar w:fldCharType="end"/>
          </w:r>
        </w:p>
        <w:p>
          <w:pPr>
            <w:pStyle w:val="11"/>
            <w:tabs>
              <w:tab w:val="right" w:leader="dot" w:pos="9026"/>
            </w:tabs>
          </w:pPr>
          <w:r>
            <w:fldChar w:fldCharType="begin"/>
          </w:r>
          <w:r>
            <w:instrText xml:space="preserve"> HYPERLINK \l _Toc28609 </w:instrText>
          </w:r>
          <w:r>
            <w:fldChar w:fldCharType="separate"/>
          </w:r>
          <w:r>
            <w:rPr>
              <w:rFonts w:hint="eastAsia" w:ascii="宋体" w:hAnsi="宋体" w:eastAsia="宋体" w:cs="宋体"/>
              <w:lang w:val="en-US" w:eastAsia="zh-CN"/>
            </w:rPr>
            <w:t>附录3</w:t>
          </w:r>
          <w:r>
            <w:rPr>
              <w:rFonts w:hint="eastAsia" w:ascii="宋体" w:hAnsi="宋体" w:eastAsia="宋体" w:cs="宋体"/>
            </w:rPr>
            <w:t>主要元器件来源</w:t>
          </w:r>
          <w:r>
            <w:tab/>
          </w:r>
          <w:r>
            <w:fldChar w:fldCharType="begin"/>
          </w:r>
          <w:r>
            <w:instrText xml:space="preserve"> PAGEREF _Toc28609 \h </w:instrText>
          </w:r>
          <w:r>
            <w:fldChar w:fldCharType="separate"/>
          </w:r>
          <w:r>
            <w:t>11</w:t>
          </w:r>
          <w:r>
            <w:fldChar w:fldCharType="end"/>
          </w:r>
          <w:r>
            <w:fldChar w:fldCharType="end"/>
          </w:r>
        </w:p>
        <w:p>
          <w:pPr>
            <w:pStyle w:val="11"/>
            <w:tabs>
              <w:tab w:val="right" w:leader="dot" w:pos="9026"/>
            </w:tabs>
          </w:pPr>
          <w:r>
            <w:fldChar w:fldCharType="begin"/>
          </w:r>
          <w:r>
            <w:instrText xml:space="preserve"> HYPERLINK \l _Toc9076 </w:instrText>
          </w:r>
          <w:r>
            <w:fldChar w:fldCharType="separate"/>
          </w:r>
          <w:r>
            <w:rPr>
              <w:rFonts w:hint="eastAsia" w:ascii="宋体" w:hAnsi="宋体" w:eastAsia="宋体" w:cs="宋体"/>
              <w:lang w:val="en-US" w:eastAsia="zh-CN"/>
            </w:rPr>
            <w:t>附录4</w:t>
          </w:r>
          <w:r>
            <w:rPr>
              <w:rFonts w:hint="eastAsia" w:ascii="宋体" w:hAnsi="宋体" w:eastAsia="宋体" w:cs="宋体"/>
            </w:rPr>
            <w:t xml:space="preserve"> 备品备件、专用工具和仪器仪表供货表</w:t>
          </w:r>
          <w:r>
            <w:tab/>
          </w:r>
          <w:r>
            <w:fldChar w:fldCharType="begin"/>
          </w:r>
          <w:r>
            <w:instrText xml:space="preserve"> PAGEREF _Toc9076 \h </w:instrText>
          </w:r>
          <w:r>
            <w:fldChar w:fldCharType="separate"/>
          </w:r>
          <w:r>
            <w:t>11</w:t>
          </w:r>
          <w:r>
            <w:fldChar w:fldCharType="end"/>
          </w:r>
          <w:r>
            <w:fldChar w:fldCharType="end"/>
          </w:r>
        </w:p>
        <w:p>
          <w:pPr>
            <w:pStyle w:val="2"/>
            <w:spacing w:line="560" w:lineRule="exact"/>
            <w:outlineLvl w:val="9"/>
            <w:rPr>
              <w:sz w:val="21"/>
            </w:rPr>
            <w:sectPr>
              <w:footerReference r:id="rId5" w:type="default"/>
              <w:pgSz w:w="11906" w:h="16838"/>
              <w:pgMar w:top="1440" w:right="1440" w:bottom="1440" w:left="1440" w:header="851" w:footer="992" w:gutter="0"/>
              <w:pgNumType w:fmt="decimal" w:start="1"/>
              <w:cols w:space="425" w:num="1"/>
              <w:docGrid w:type="lines" w:linePitch="312" w:charSpace="0"/>
            </w:sectPr>
          </w:pPr>
          <w:r>
            <w:fldChar w:fldCharType="end"/>
          </w:r>
        </w:p>
      </w:sdtContent>
    </w:sdt>
    <w:p>
      <w:pPr>
        <w:pStyle w:val="2"/>
        <w:spacing w:line="560" w:lineRule="exact"/>
        <w:rPr>
          <w:sz w:val="21"/>
        </w:rPr>
      </w:pPr>
      <w:bookmarkStart w:id="5" w:name="_Toc4687"/>
      <w:r>
        <w:rPr>
          <w:sz w:val="21"/>
        </w:rPr>
        <w:t xml:space="preserve">1 </w:t>
      </w:r>
      <w:r>
        <w:rPr>
          <w:rFonts w:hint="eastAsia"/>
          <w:sz w:val="21"/>
        </w:rPr>
        <w:t>一般规定</w:t>
      </w:r>
      <w:bookmarkEnd w:id="2"/>
      <w:bookmarkEnd w:id="3"/>
      <w:bookmarkEnd w:id="4"/>
      <w:bookmarkEnd w:id="5"/>
    </w:p>
    <w:p>
      <w:pPr>
        <w:numPr>
          <w:ilvl w:val="1"/>
          <w:numId w:val="2"/>
        </w:numPr>
        <w:topLinePunct/>
        <w:spacing w:after="0" w:line="560" w:lineRule="exact"/>
        <w:ind w:firstLine="0"/>
        <w:rPr>
          <w:rFonts w:hint="eastAsia" w:asciiTheme="minorEastAsia" w:hAnsiTheme="minorEastAsia" w:eastAsiaTheme="minorEastAsia"/>
          <w:szCs w:val="24"/>
        </w:rPr>
      </w:pPr>
      <w:r>
        <w:rPr>
          <w:rFonts w:hint="eastAsia" w:asciiTheme="minorEastAsia" w:hAnsiTheme="minorEastAsia" w:eastAsiaTheme="minorEastAsia"/>
          <w:szCs w:val="24"/>
        </w:rPr>
        <w:t>本技术规范书适用于南方电网2025年第</w:t>
      </w:r>
      <w:r>
        <w:rPr>
          <w:rFonts w:hint="eastAsia" w:asciiTheme="minorEastAsia" w:hAnsiTheme="minorEastAsia" w:eastAsiaTheme="minorEastAsia"/>
          <w:szCs w:val="24"/>
          <w:lang w:val="en-US" w:eastAsia="zh-CN"/>
        </w:rPr>
        <w:t>二</w:t>
      </w:r>
      <w:r>
        <w:rPr>
          <w:rFonts w:hint="eastAsia" w:asciiTheme="minorEastAsia" w:hAnsiTheme="minorEastAsia" w:eastAsiaTheme="minorEastAsia"/>
          <w:szCs w:val="24"/>
        </w:rPr>
        <w:t>批无人机设备及相关附件框架采购项目无人机紫外云台挂载及其相关附件，该设备需满足本文所要求条件。</w:t>
      </w:r>
    </w:p>
    <w:p>
      <w:pPr>
        <w:spacing w:after="0" w:line="560" w:lineRule="exact"/>
        <w:ind w:firstLine="0"/>
        <w:jc w:val="left"/>
        <w:rPr>
          <w:rFonts w:hint="eastAsia" w:asciiTheme="minorEastAsia" w:hAnsiTheme="minorEastAsia" w:eastAsiaTheme="minorEastAsia"/>
          <w:szCs w:val="24"/>
        </w:rPr>
      </w:pPr>
      <w:r>
        <w:rPr>
          <w:rFonts w:hint="eastAsia" w:ascii="宋体" w:hAnsi="宋体" w:eastAsia="宋体" w:cs="宋体"/>
          <w:szCs w:val="22"/>
        </w:rPr>
        <w:t>1.2 本次招</w:t>
      </w:r>
      <w:r>
        <w:rPr>
          <w:rFonts w:hint="eastAsia" w:asciiTheme="minorEastAsia" w:hAnsiTheme="minorEastAsia" w:eastAsiaTheme="minorEastAsia"/>
          <w:szCs w:val="24"/>
        </w:rPr>
        <w:t>标设备无人机紫外云台挂载及其相关附件</w:t>
      </w:r>
      <w:r>
        <w:rPr>
          <w:rFonts w:hint="eastAsia" w:ascii="宋体" w:hAnsi="宋体" w:eastAsia="宋体" w:cs="宋体"/>
          <w:szCs w:val="22"/>
        </w:rPr>
        <w:t>，投标人投标设备必须是成熟完整的成套产品，且使用记录良好。</w:t>
      </w:r>
    </w:p>
    <w:p>
      <w:pPr>
        <w:spacing w:after="0" w:line="560" w:lineRule="exact"/>
        <w:ind w:firstLine="0"/>
        <w:jc w:val="left"/>
        <w:rPr>
          <w:rFonts w:hint="eastAsia" w:ascii="宋体" w:hAnsi="宋体" w:eastAsia="宋体" w:cs="宋体"/>
          <w:szCs w:val="22"/>
        </w:rPr>
      </w:pPr>
      <w:bookmarkStart w:id="6" w:name="_Toc19112"/>
      <w:bookmarkStart w:id="7" w:name="_Toc14044"/>
      <w:bookmarkStart w:id="8" w:name="_Toc18295"/>
      <w:r>
        <w:rPr>
          <w:rFonts w:hint="eastAsia" w:ascii="宋体" w:hAnsi="宋体" w:eastAsia="宋体" w:cs="宋体"/>
          <w:szCs w:val="22"/>
        </w:rPr>
        <w:t>1.3 投标人应按照本技术条件书中的要求提供相应文件及响应，如文件不全或不响应，应视为废标。</w:t>
      </w:r>
    </w:p>
    <w:p>
      <w:pPr>
        <w:spacing w:after="0" w:line="560" w:lineRule="exact"/>
        <w:ind w:firstLine="0"/>
        <w:jc w:val="left"/>
        <w:rPr>
          <w:rFonts w:hint="eastAsia" w:ascii="宋体" w:hAnsi="宋体" w:eastAsia="宋体" w:cs="宋体"/>
          <w:szCs w:val="22"/>
        </w:rPr>
      </w:pPr>
      <w:r>
        <w:rPr>
          <w:rFonts w:hint="eastAsia" w:ascii="宋体" w:hAnsi="宋体" w:eastAsia="宋体" w:cs="宋体"/>
          <w:szCs w:val="22"/>
        </w:rPr>
        <w:t>1.4投标人投标设备的技术参数如与招标书“技术要求”不符，应在 “差异表”（附表）中如实澄清，否则视为废标。</w:t>
      </w:r>
    </w:p>
    <w:p>
      <w:pPr>
        <w:spacing w:after="0" w:line="560" w:lineRule="exact"/>
        <w:ind w:firstLine="0"/>
        <w:jc w:val="left"/>
        <w:rPr>
          <w:rFonts w:hint="eastAsia" w:ascii="宋体" w:hAnsi="宋体" w:eastAsia="宋体" w:cs="宋体"/>
          <w:szCs w:val="22"/>
        </w:rPr>
      </w:pPr>
      <w:r>
        <w:rPr>
          <w:rFonts w:hint="eastAsia" w:ascii="宋体" w:hAnsi="宋体" w:eastAsia="宋体" w:cs="宋体"/>
          <w:szCs w:val="22"/>
        </w:rPr>
        <w:t>1.</w:t>
      </w:r>
      <w:r>
        <w:rPr>
          <w:rFonts w:hint="eastAsia" w:ascii="宋体" w:hAnsi="宋体" w:cs="宋体"/>
          <w:szCs w:val="22"/>
          <w:lang w:val="en-US" w:eastAsia="zh-CN"/>
        </w:rPr>
        <w:t>5</w:t>
      </w:r>
      <w:r>
        <w:rPr>
          <w:rFonts w:hint="eastAsia" w:ascii="宋体" w:hAnsi="宋体" w:eastAsia="宋体" w:cs="宋体"/>
          <w:szCs w:val="22"/>
        </w:rPr>
        <w:t xml:space="preserve"> 投标人负责提供投标设备的现场测试、调试工作，如向第三方外购设备或配件时，投标人应对质量负责。</w:t>
      </w:r>
    </w:p>
    <w:p>
      <w:pPr>
        <w:spacing w:after="0" w:line="560" w:lineRule="exact"/>
        <w:ind w:firstLine="0"/>
        <w:jc w:val="left"/>
        <w:rPr>
          <w:rFonts w:hint="eastAsia" w:ascii="宋体" w:hAnsi="宋体" w:eastAsia="宋体" w:cs="宋体"/>
          <w:szCs w:val="22"/>
        </w:rPr>
      </w:pPr>
      <w:r>
        <w:rPr>
          <w:rFonts w:hint="eastAsia" w:ascii="宋体" w:hAnsi="宋体" w:eastAsia="宋体" w:cs="宋体"/>
          <w:szCs w:val="22"/>
        </w:rPr>
        <w:t>1.</w:t>
      </w:r>
      <w:r>
        <w:rPr>
          <w:rFonts w:hint="eastAsia" w:ascii="宋体" w:hAnsi="宋体" w:cs="宋体"/>
          <w:szCs w:val="22"/>
          <w:lang w:val="en-US" w:eastAsia="zh-CN"/>
        </w:rPr>
        <w:t>6</w:t>
      </w:r>
      <w:r>
        <w:rPr>
          <w:rFonts w:hint="eastAsia" w:ascii="宋体" w:hAnsi="宋体" w:eastAsia="宋体" w:cs="宋体"/>
          <w:szCs w:val="22"/>
        </w:rPr>
        <w:t xml:space="preserve"> 投标人应负责为上述设备提供设备参数、培训、技术服务、质量保证等各方面工作。并提供不低于所供产品技术要求的证书及试验报告。</w:t>
      </w:r>
    </w:p>
    <w:p>
      <w:pPr>
        <w:suppressAutoHyphens/>
        <w:spacing w:after="0" w:line="560" w:lineRule="exact"/>
        <w:ind w:firstLine="0"/>
        <w:jc w:val="left"/>
        <w:rPr>
          <w:rFonts w:hint="eastAsia" w:ascii="宋体" w:hAnsi="宋体" w:eastAsia="宋体" w:cs="宋体"/>
          <w:szCs w:val="22"/>
        </w:rPr>
      </w:pPr>
      <w:r>
        <w:rPr>
          <w:rFonts w:hint="eastAsia" w:ascii="宋体" w:hAnsi="宋体" w:eastAsia="宋体" w:cs="宋体"/>
          <w:szCs w:val="22"/>
        </w:rPr>
        <w:t>1.</w:t>
      </w:r>
      <w:r>
        <w:rPr>
          <w:rFonts w:hint="eastAsia" w:ascii="宋体" w:hAnsi="宋体" w:cs="宋体"/>
          <w:szCs w:val="22"/>
          <w:lang w:val="en-US" w:eastAsia="zh-CN"/>
        </w:rPr>
        <w:t>7</w:t>
      </w:r>
      <w:r>
        <w:rPr>
          <w:rFonts w:hint="eastAsia" w:ascii="宋体" w:hAnsi="宋体" w:eastAsia="宋体" w:cs="宋体"/>
          <w:szCs w:val="22"/>
        </w:rPr>
        <w:t xml:space="preserve"> 投标人投标设备应在工厂内通过完善、严格的测试检验。</w:t>
      </w:r>
    </w:p>
    <w:p>
      <w:pPr>
        <w:suppressAutoHyphens/>
        <w:spacing w:after="0" w:line="560" w:lineRule="exact"/>
        <w:ind w:firstLine="0"/>
        <w:jc w:val="left"/>
        <w:rPr>
          <w:rFonts w:hint="eastAsia" w:ascii="宋体" w:hAnsi="宋体" w:eastAsia="宋体" w:cs="宋体"/>
          <w:szCs w:val="22"/>
        </w:rPr>
      </w:pPr>
      <w:r>
        <w:rPr>
          <w:rFonts w:hint="eastAsia" w:ascii="宋体" w:hAnsi="宋体" w:eastAsia="宋体" w:cs="宋体"/>
          <w:szCs w:val="22"/>
        </w:rPr>
        <w:t>1.</w:t>
      </w:r>
      <w:r>
        <w:rPr>
          <w:rFonts w:hint="eastAsia" w:ascii="宋体" w:hAnsi="宋体" w:cs="宋体"/>
          <w:szCs w:val="22"/>
          <w:lang w:val="en-US" w:eastAsia="zh-CN"/>
        </w:rPr>
        <w:t>8</w:t>
      </w:r>
      <w:r>
        <w:rPr>
          <w:rFonts w:hint="eastAsia" w:ascii="宋体" w:hAnsi="宋体" w:eastAsia="宋体" w:cs="宋体"/>
          <w:szCs w:val="22"/>
        </w:rPr>
        <w:t xml:space="preserve"> 所有资料、文件、图纸要求以中文书写（原厂商的资料如果有英文资料则需要将其附带），所有计算、说明、图纸、文件、手册等采用国际单位制。</w:t>
      </w:r>
    </w:p>
    <w:p>
      <w:pPr>
        <w:pageBreakBefore w:val="0"/>
        <w:widowControl/>
        <w:kinsoku/>
        <w:wordWrap/>
        <w:overflowPunct/>
        <w:topLinePunct w:val="0"/>
        <w:autoSpaceDE/>
        <w:autoSpaceDN/>
        <w:bidi w:val="0"/>
        <w:adjustRightInd/>
        <w:snapToGrid/>
        <w:spacing w:after="0" w:line="560" w:lineRule="exact"/>
        <w:ind w:firstLine="0"/>
        <w:jc w:val="left"/>
        <w:textAlignment w:val="auto"/>
        <w:rPr>
          <w:rFonts w:hint="eastAsia" w:ascii="宋体" w:hAnsi="宋体" w:eastAsia="宋体" w:cs="宋体"/>
          <w:szCs w:val="22"/>
          <w:highlight w:val="none"/>
        </w:rPr>
      </w:pPr>
      <w:r>
        <w:rPr>
          <w:rFonts w:hint="eastAsia" w:ascii="宋体" w:hAnsi="宋体" w:eastAsia="宋体" w:cs="宋体"/>
          <w:szCs w:val="22"/>
        </w:rPr>
        <w:t>1.</w:t>
      </w:r>
      <w:r>
        <w:rPr>
          <w:rFonts w:hint="eastAsia" w:ascii="宋体" w:hAnsi="宋体" w:cs="宋体"/>
          <w:szCs w:val="22"/>
          <w:lang w:val="en-US" w:eastAsia="zh-CN"/>
        </w:rPr>
        <w:t>9</w:t>
      </w:r>
      <w:r>
        <w:rPr>
          <w:rFonts w:hint="eastAsia" w:ascii="宋体" w:hAnsi="宋体" w:eastAsia="宋体" w:cs="宋体"/>
          <w:szCs w:val="22"/>
        </w:rPr>
        <w:t xml:space="preserve"> 本技术规范书的解释权属于南方电网通用航空服务有限公司。技术规范书未经南方电网通用航空服务有限公司同意，任何个人和单位不得做出任何修改</w:t>
      </w:r>
      <w:r>
        <w:rPr>
          <w:rFonts w:hint="eastAsia" w:ascii="宋体" w:hAnsi="宋体" w:eastAsia="宋体" w:cs="宋体"/>
          <w:szCs w:val="22"/>
          <w:highlight w:val="none"/>
        </w:rPr>
        <w:t>。</w:t>
      </w:r>
    </w:p>
    <w:p>
      <w:pPr>
        <w:pStyle w:val="2"/>
        <w:spacing w:line="560" w:lineRule="exact"/>
        <w:rPr>
          <w:sz w:val="21"/>
        </w:rPr>
      </w:pPr>
      <w:r>
        <w:rPr>
          <w:sz w:val="21"/>
        </w:rPr>
        <w:t>2技术文件</w:t>
      </w:r>
      <w:r>
        <w:rPr>
          <w:rFonts w:hint="eastAsia"/>
          <w:sz w:val="21"/>
        </w:rPr>
        <w:t>的组成</w:t>
      </w:r>
      <w:bookmarkEnd w:id="6"/>
      <w:bookmarkEnd w:id="7"/>
      <w:bookmarkEnd w:id="8"/>
    </w:p>
    <w:p>
      <w:pPr>
        <w:numPr>
          <w:ilvl w:val="1"/>
          <w:numId w:val="3"/>
        </w:numPr>
        <w:suppressAutoHyphens/>
        <w:spacing w:after="0" w:line="560" w:lineRule="exact"/>
        <w:ind w:left="0" w:firstLine="0"/>
        <w:rPr>
          <w:rFonts w:asciiTheme="minorEastAsia" w:hAnsiTheme="minorEastAsia" w:eastAsiaTheme="minorEastAsia"/>
          <w:szCs w:val="24"/>
        </w:rPr>
      </w:pPr>
      <w:r>
        <w:rPr>
          <w:rFonts w:hint="eastAsia" w:asciiTheme="minorEastAsia" w:hAnsiTheme="minorEastAsia" w:eastAsiaTheme="minorEastAsia"/>
          <w:szCs w:val="24"/>
        </w:rPr>
        <w:t>投标设备的详细供货清单；</w:t>
      </w:r>
    </w:p>
    <w:p>
      <w:pPr>
        <w:numPr>
          <w:ilvl w:val="1"/>
          <w:numId w:val="3"/>
        </w:numPr>
        <w:suppressAutoHyphens/>
        <w:spacing w:after="0" w:line="560" w:lineRule="exact"/>
        <w:ind w:left="0" w:firstLine="0"/>
        <w:rPr>
          <w:rFonts w:asciiTheme="minorEastAsia" w:hAnsiTheme="minorEastAsia" w:eastAsiaTheme="minorEastAsia"/>
          <w:szCs w:val="24"/>
        </w:rPr>
      </w:pPr>
      <w:r>
        <w:rPr>
          <w:rFonts w:hint="eastAsia" w:asciiTheme="minorEastAsia" w:hAnsiTheme="minorEastAsia" w:eastAsiaTheme="minorEastAsia"/>
          <w:szCs w:val="24"/>
        </w:rPr>
        <w:t>技术应答书，应</w:t>
      </w:r>
      <w:r>
        <w:rPr>
          <w:rFonts w:asciiTheme="minorEastAsia" w:hAnsiTheme="minorEastAsia" w:eastAsiaTheme="minorEastAsia"/>
          <w:szCs w:val="24"/>
        </w:rPr>
        <w:t>逐条</w:t>
      </w:r>
      <w:r>
        <w:rPr>
          <w:rFonts w:hint="eastAsia" w:asciiTheme="minorEastAsia" w:hAnsiTheme="minorEastAsia" w:eastAsiaTheme="minorEastAsia"/>
          <w:szCs w:val="24"/>
        </w:rPr>
        <w:t>“点对点”</w:t>
      </w:r>
      <w:r>
        <w:rPr>
          <w:rFonts w:asciiTheme="minorEastAsia" w:hAnsiTheme="minorEastAsia" w:eastAsiaTheme="minorEastAsia"/>
          <w:szCs w:val="24"/>
        </w:rPr>
        <w:t>回应</w:t>
      </w:r>
      <w:r>
        <w:rPr>
          <w:rFonts w:hint="eastAsia" w:asciiTheme="minorEastAsia" w:hAnsiTheme="minorEastAsia" w:eastAsiaTheme="minorEastAsia"/>
          <w:szCs w:val="24"/>
        </w:rPr>
        <w:t>本标书的技术规范；</w:t>
      </w:r>
    </w:p>
    <w:p>
      <w:pPr>
        <w:numPr>
          <w:ilvl w:val="1"/>
          <w:numId w:val="3"/>
        </w:numPr>
        <w:suppressAutoHyphens/>
        <w:spacing w:after="0" w:line="560" w:lineRule="exact"/>
        <w:ind w:left="0" w:firstLine="0"/>
        <w:rPr>
          <w:rFonts w:asciiTheme="minorEastAsia" w:hAnsiTheme="minorEastAsia" w:eastAsiaTheme="minorEastAsia"/>
          <w:szCs w:val="24"/>
        </w:rPr>
      </w:pPr>
      <w:r>
        <w:rPr>
          <w:rFonts w:asciiTheme="minorEastAsia" w:hAnsiTheme="minorEastAsia" w:eastAsiaTheme="minorEastAsia"/>
          <w:szCs w:val="24"/>
        </w:rPr>
        <w:t>差异表(</w:t>
      </w:r>
      <w:r>
        <w:rPr>
          <w:rFonts w:hint="eastAsia" w:asciiTheme="minorEastAsia" w:hAnsiTheme="minorEastAsia" w:eastAsiaTheme="minorEastAsia"/>
          <w:szCs w:val="24"/>
        </w:rPr>
        <w:t>格式</w:t>
      </w:r>
      <w:r>
        <w:rPr>
          <w:rFonts w:asciiTheme="minorEastAsia" w:hAnsiTheme="minorEastAsia" w:eastAsiaTheme="minorEastAsia"/>
          <w:szCs w:val="24"/>
        </w:rPr>
        <w:t>见附表)；</w:t>
      </w:r>
    </w:p>
    <w:p>
      <w:pPr>
        <w:numPr>
          <w:ilvl w:val="1"/>
          <w:numId w:val="3"/>
        </w:numPr>
        <w:suppressAutoHyphens/>
        <w:spacing w:after="0" w:line="560" w:lineRule="exact"/>
        <w:ind w:left="0" w:firstLine="0"/>
        <w:rPr>
          <w:rFonts w:asciiTheme="minorEastAsia" w:hAnsiTheme="minorEastAsia" w:eastAsiaTheme="minorEastAsia"/>
          <w:szCs w:val="24"/>
        </w:rPr>
      </w:pPr>
      <w:r>
        <w:rPr>
          <w:rFonts w:hint="eastAsia" w:asciiTheme="minorEastAsia" w:hAnsiTheme="minorEastAsia" w:eastAsiaTheme="minorEastAsia"/>
          <w:szCs w:val="24"/>
        </w:rPr>
        <w:t>投标方提供样品图片，并在样品上标明对应此技术条件书上申购的设备类型；</w:t>
      </w:r>
    </w:p>
    <w:p>
      <w:pPr>
        <w:numPr>
          <w:ilvl w:val="1"/>
          <w:numId w:val="3"/>
        </w:numPr>
        <w:suppressAutoHyphens/>
        <w:spacing w:after="0" w:line="560" w:lineRule="exact"/>
        <w:ind w:left="0" w:firstLine="0"/>
        <w:rPr>
          <w:rFonts w:asciiTheme="minorEastAsia" w:hAnsiTheme="minorEastAsia" w:eastAsiaTheme="minorEastAsia"/>
          <w:szCs w:val="24"/>
        </w:rPr>
        <w:sectPr>
          <w:footerReference r:id="rId6" w:type="default"/>
          <w:pgSz w:w="11906" w:h="16838"/>
          <w:pgMar w:top="1440" w:right="1440" w:bottom="1440" w:left="1440" w:header="851" w:footer="992" w:gutter="0"/>
          <w:pgNumType w:fmt="decimal" w:start="1"/>
          <w:cols w:space="425" w:num="1"/>
          <w:docGrid w:type="lines" w:linePitch="312" w:charSpace="0"/>
        </w:sectPr>
      </w:pPr>
    </w:p>
    <w:p>
      <w:pPr>
        <w:numPr>
          <w:ilvl w:val="1"/>
          <w:numId w:val="3"/>
        </w:numPr>
        <w:suppressAutoHyphens/>
        <w:spacing w:after="0" w:line="560" w:lineRule="exact"/>
        <w:ind w:left="0" w:firstLine="0"/>
        <w:rPr>
          <w:rFonts w:asciiTheme="minorEastAsia" w:hAnsiTheme="minorEastAsia" w:eastAsiaTheme="minorEastAsia"/>
          <w:szCs w:val="24"/>
        </w:rPr>
      </w:pPr>
      <w:r>
        <w:rPr>
          <w:rFonts w:hint="eastAsia" w:asciiTheme="minorEastAsia" w:hAnsiTheme="minorEastAsia" w:eastAsiaTheme="minorEastAsia"/>
          <w:szCs w:val="24"/>
        </w:rPr>
        <w:t>售后服务保证相关证书，包括产品合格证书、产品三包凭证和保修卡；</w:t>
      </w:r>
    </w:p>
    <w:p>
      <w:pPr>
        <w:numPr>
          <w:ilvl w:val="1"/>
          <w:numId w:val="3"/>
        </w:numPr>
        <w:suppressAutoHyphens/>
        <w:spacing w:after="0" w:line="560" w:lineRule="exact"/>
        <w:ind w:left="0" w:firstLine="0"/>
        <w:rPr>
          <w:rFonts w:asciiTheme="minorEastAsia" w:hAnsiTheme="minorEastAsia" w:eastAsiaTheme="minorEastAsia"/>
          <w:szCs w:val="24"/>
        </w:rPr>
      </w:pPr>
      <w:r>
        <w:rPr>
          <w:rFonts w:hint="eastAsia" w:asciiTheme="minorEastAsia" w:hAnsiTheme="minorEastAsia" w:eastAsiaTheme="minorEastAsia"/>
          <w:szCs w:val="24"/>
        </w:rPr>
        <w:t>产品出厂检测报告；</w:t>
      </w:r>
    </w:p>
    <w:p>
      <w:pPr>
        <w:numPr>
          <w:ilvl w:val="1"/>
          <w:numId w:val="3"/>
        </w:numPr>
        <w:suppressAutoHyphens/>
        <w:spacing w:after="0" w:line="560" w:lineRule="exact"/>
        <w:ind w:left="0" w:firstLine="0"/>
        <w:rPr>
          <w:rFonts w:asciiTheme="minorEastAsia" w:hAnsiTheme="minorEastAsia" w:eastAsiaTheme="minorEastAsia"/>
          <w:szCs w:val="24"/>
        </w:rPr>
      </w:pPr>
      <w:r>
        <w:rPr>
          <w:rFonts w:hint="eastAsia" w:asciiTheme="minorEastAsia" w:hAnsiTheme="minorEastAsia" w:eastAsiaTheme="minorEastAsia"/>
          <w:szCs w:val="24"/>
        </w:rPr>
        <w:t>提供中文操作手册和维护手册；</w:t>
      </w:r>
    </w:p>
    <w:p>
      <w:pPr>
        <w:tabs>
          <w:tab w:val="left" w:pos="420"/>
        </w:tabs>
        <w:suppressAutoHyphens/>
        <w:spacing w:after="0" w:line="560" w:lineRule="exact"/>
        <w:rPr>
          <w:rFonts w:asciiTheme="minorEastAsia" w:hAnsiTheme="minorEastAsia" w:eastAsiaTheme="minorEastAsia"/>
          <w:b/>
          <w:szCs w:val="24"/>
        </w:rPr>
      </w:pPr>
      <w:r>
        <w:rPr>
          <w:rFonts w:asciiTheme="minorEastAsia" w:hAnsiTheme="minorEastAsia" w:eastAsiaTheme="minorEastAsia"/>
          <w:szCs w:val="24"/>
        </w:rPr>
        <w:t>2.8提供设备产品样本册，对每个单项产品，投标方必须提供原厂商的正式技术指标说明材料。</w:t>
      </w:r>
    </w:p>
    <w:p>
      <w:pPr>
        <w:pStyle w:val="2"/>
        <w:rPr>
          <w:rFonts w:hint="eastAsia" w:ascii="宋体" w:hAnsi="宋体" w:eastAsia="宋体" w:cs="宋体"/>
          <w:sz w:val="21"/>
        </w:rPr>
      </w:pPr>
      <w:bookmarkStart w:id="9" w:name="_Toc17752"/>
      <w:bookmarkStart w:id="10" w:name="_Toc22625"/>
      <w:bookmarkStart w:id="11" w:name="_Toc11737"/>
      <w:r>
        <w:rPr>
          <w:rFonts w:hint="eastAsia" w:ascii="宋体" w:hAnsi="宋体" w:eastAsia="宋体" w:cs="宋体"/>
          <w:sz w:val="21"/>
        </w:rPr>
        <w:t>3技术要求</w:t>
      </w:r>
      <w:bookmarkEnd w:id="9"/>
      <w:bookmarkEnd w:id="10"/>
      <w:bookmarkEnd w:id="11"/>
    </w:p>
    <w:p>
      <w:pPr>
        <w:pStyle w:val="15"/>
        <w:adjustRightInd w:val="0"/>
        <w:snapToGrid w:val="0"/>
        <w:spacing w:line="360" w:lineRule="auto"/>
        <w:rPr>
          <w:rFonts w:hint="eastAsia" w:ascii="宋体" w:hAnsi="宋体" w:eastAsia="宋体" w:cs="宋体"/>
          <w:szCs w:val="21"/>
        </w:rPr>
      </w:pPr>
      <w:r>
        <w:rPr>
          <w:rFonts w:hint="eastAsia" w:ascii="宋体" w:hAnsi="宋体" w:eastAsia="宋体" w:cs="宋体"/>
          <w:szCs w:val="21"/>
        </w:rPr>
        <w:t>本技术规范书采购的设备适用的外部条件如下：</w:t>
      </w:r>
    </w:p>
    <w:p>
      <w:pPr>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eastAsia="宋体" w:cs="宋体"/>
          <w:szCs w:val="21"/>
          <w:lang w:val="en-US" w:eastAsia="zh-CN"/>
        </w:rPr>
        <w:t>3</w:t>
      </w:r>
      <w:r>
        <w:rPr>
          <w:rFonts w:hint="eastAsia" w:ascii="宋体" w:hAnsi="宋体" w:eastAsia="宋体" w:cs="宋体"/>
          <w:szCs w:val="21"/>
        </w:rPr>
        <w:t xml:space="preserve"> 设备外部条件一览表 （招标方填写）</w:t>
      </w:r>
    </w:p>
    <w:tbl>
      <w:tblPr>
        <w:tblStyle w:val="12"/>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699"/>
        <w:gridCol w:w="672"/>
        <w:gridCol w:w="900"/>
        <w:gridCol w:w="924"/>
        <w:gridCol w:w="1104"/>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序号</w:t>
            </w:r>
          </w:p>
        </w:tc>
        <w:tc>
          <w:tcPr>
            <w:tcW w:w="1699"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参数类型</w:t>
            </w:r>
          </w:p>
        </w:tc>
        <w:tc>
          <w:tcPr>
            <w:tcW w:w="672"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单位</w:t>
            </w:r>
          </w:p>
        </w:tc>
        <w:tc>
          <w:tcPr>
            <w:tcW w:w="900"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正常使用条件</w:t>
            </w:r>
          </w:p>
        </w:tc>
        <w:tc>
          <w:tcPr>
            <w:tcW w:w="924"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特殊使用条件</w:t>
            </w:r>
          </w:p>
        </w:tc>
        <w:tc>
          <w:tcPr>
            <w:tcW w:w="1104"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项目需求值或表述</w:t>
            </w:r>
          </w:p>
        </w:tc>
        <w:tc>
          <w:tcPr>
            <w:tcW w:w="1572"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投标人保证值</w:t>
            </w:r>
          </w:p>
        </w:tc>
        <w:tc>
          <w:tcPr>
            <w:tcW w:w="135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1</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最高日温度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center"/>
              <w:rPr>
                <w:rFonts w:hint="eastAsia" w:ascii="宋体" w:hAnsi="宋体" w:eastAsia="宋体" w:cs="宋体"/>
                <w:kern w:val="0"/>
                <w:szCs w:val="21"/>
              </w:rPr>
            </w:pPr>
            <w:r>
              <w:rPr>
                <w:rFonts w:hint="eastAsia" w:ascii="宋体" w:hAnsi="宋体" w:cs="宋体"/>
                <w:kern w:val="0"/>
                <w:szCs w:val="21"/>
                <w:lang w:val="en-US" w:eastAsia="zh-CN"/>
              </w:rPr>
              <w:t>4</w:t>
            </w:r>
            <w:r>
              <w:rPr>
                <w:rFonts w:hint="eastAsia" w:ascii="宋体" w:hAnsi="宋体" w:eastAsia="宋体" w:cs="宋体"/>
                <w:kern w:val="0"/>
                <w:szCs w:val="21"/>
              </w:rPr>
              <w:t>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4</w:t>
            </w:r>
            <w:r>
              <w:rPr>
                <w:rFonts w:hint="eastAsia" w:ascii="宋体" w:hAnsi="宋体" w:eastAsia="宋体" w:cs="宋体"/>
                <w:kern w:val="0"/>
                <w:szCs w:val="21"/>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1.2</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最低日温度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r>
              <w:rPr>
                <w:rFonts w:hint="eastAsia" w:ascii="宋体" w:hAnsi="宋体" w:cs="宋体"/>
                <w:kern w:val="0"/>
                <w:szCs w:val="21"/>
                <w:lang w:val="en-US" w:eastAsia="zh-CN"/>
              </w:rPr>
              <w:t>1</w:t>
            </w:r>
            <w:r>
              <w:rPr>
                <w:rFonts w:hint="eastAsia" w:ascii="宋体" w:hAnsi="宋体" w:eastAsia="宋体" w:cs="宋体"/>
                <w:kern w:val="0"/>
                <w:szCs w:val="21"/>
              </w:rPr>
              <w:t>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w:t>
            </w:r>
            <w:r>
              <w:rPr>
                <w:rFonts w:hint="eastAsia" w:ascii="宋体" w:hAnsi="宋体" w:cs="宋体"/>
                <w:kern w:val="0"/>
                <w:szCs w:val="21"/>
                <w:lang w:val="en-US" w:eastAsia="zh-CN"/>
              </w:rPr>
              <w:t>1</w:t>
            </w:r>
            <w:r>
              <w:rPr>
                <w:rFonts w:hint="eastAsia" w:ascii="宋体" w:hAnsi="宋体" w:eastAsia="宋体" w:cs="宋体"/>
                <w:kern w:val="0"/>
                <w:szCs w:val="21"/>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环境相对湿度%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最大相对湿度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95</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2.2</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最小相对湿度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5</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海拔高度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最大海拔高度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center"/>
          </w:tcPr>
          <w:p>
            <w:pPr>
              <w:widowControl/>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6000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6000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最小海拔高度</w:t>
            </w:r>
          </w:p>
        </w:tc>
        <w:tc>
          <w:tcPr>
            <w:tcW w:w="672"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0</w:t>
            </w:r>
          </w:p>
        </w:tc>
        <w:tc>
          <w:tcPr>
            <w:tcW w:w="924" w:type="dxa"/>
            <w:vAlign w:val="center"/>
          </w:tcPr>
          <w:p>
            <w:pPr>
              <w:widowControl/>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Cs w:val="21"/>
              </w:rPr>
              <w:t>0</w:t>
            </w:r>
          </w:p>
        </w:tc>
        <w:tc>
          <w:tcPr>
            <w:tcW w:w="1572" w:type="dxa"/>
            <w:vAlign w:val="center"/>
          </w:tcPr>
          <w:p>
            <w:pPr>
              <w:widowControl/>
              <w:jc w:val="center"/>
              <w:rPr>
                <w:rFonts w:hint="eastAsia" w:ascii="宋体" w:hAnsi="宋体" w:eastAsia="宋体" w:cs="宋体"/>
                <w:kern w:val="0"/>
                <w:szCs w:val="21"/>
              </w:rPr>
            </w:pPr>
          </w:p>
        </w:tc>
        <w:tc>
          <w:tcPr>
            <w:tcW w:w="1351" w:type="dxa"/>
            <w:vAlign w:val="center"/>
          </w:tcPr>
          <w:p>
            <w:pPr>
              <w:widowControl/>
              <w:jc w:val="center"/>
              <w:rPr>
                <w:rFonts w:hint="eastAsia" w:ascii="宋体" w:hAnsi="宋体" w:eastAsia="宋体" w:cs="宋体"/>
                <w:kern w:val="0"/>
                <w:szCs w:val="21"/>
              </w:rPr>
            </w:pPr>
          </w:p>
        </w:tc>
      </w:tr>
    </w:tbl>
    <w:p>
      <w:pPr>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w:t>
      </w:r>
      <w:r>
        <w:rPr>
          <w:rFonts w:hint="eastAsia" w:ascii="宋体" w:hAnsi="宋体" w:cs="宋体"/>
          <w:lang w:val="en-US" w:eastAsia="zh-CN"/>
        </w:rPr>
        <w:t>附表2</w:t>
      </w:r>
      <w:r>
        <w:rPr>
          <w:rFonts w:hint="eastAsia" w:ascii="宋体" w:hAnsi="宋体" w:eastAsia="宋体" w:cs="宋体"/>
        </w:rPr>
        <w:t>：技术差异表。下表中投标方保证值不得低于项目要求值要求。</w:t>
      </w:r>
    </w:p>
    <w:p>
      <w:pPr>
        <w:adjustRightInd/>
        <w:snapToGrid/>
        <w:spacing w:line="240" w:lineRule="auto"/>
        <w:ind w:firstLine="0" w:firstLineChars="0"/>
        <w:rPr>
          <w:rFonts w:hint="eastAsia" w:ascii="宋体" w:hAnsi="宋体" w:eastAsia="宋体" w:cs="宋体"/>
        </w:rPr>
      </w:pPr>
      <w:r>
        <w:rPr>
          <w:rFonts w:hint="eastAsia" w:ascii="宋体" w:hAnsi="宋体" w:eastAsia="宋体" w:cs="宋体"/>
        </w:rPr>
        <w:br w:type="page"/>
      </w:r>
    </w:p>
    <w:p>
      <w:pPr>
        <w:jc w:val="center"/>
        <w:rPr>
          <w:rFonts w:hint="eastAsia" w:ascii="宋体" w:hAnsi="宋体" w:eastAsia="宋体" w:cs="宋体"/>
          <w:szCs w:val="21"/>
          <w:highlight w:val="none"/>
        </w:rPr>
      </w:pPr>
      <w:r>
        <w:rPr>
          <w:rFonts w:hint="eastAsia" w:ascii="宋体" w:hAnsi="宋体" w:eastAsia="宋体" w:cs="宋体"/>
          <w:szCs w:val="21"/>
          <w:highlight w:val="none"/>
        </w:rPr>
        <w:t>表</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 xml:space="preserve">.1   </w:t>
      </w:r>
      <w:r>
        <w:rPr>
          <w:rFonts w:hint="eastAsia" w:asciiTheme="minorEastAsia" w:hAnsiTheme="minorEastAsia" w:eastAsiaTheme="minorEastAsia"/>
          <w:b w:val="0"/>
          <w:bCs w:val="0"/>
          <w:szCs w:val="24"/>
        </w:rPr>
        <w:t>双光紫外成像云台相机单元</w:t>
      </w:r>
      <w:r>
        <w:rPr>
          <w:rFonts w:hint="eastAsia" w:ascii="宋体" w:hAnsi="宋体" w:eastAsia="宋体" w:cs="宋体"/>
          <w:szCs w:val="21"/>
          <w:highlight w:val="none"/>
        </w:rPr>
        <w:t>技术特性参数</w:t>
      </w:r>
      <w:r>
        <w:rPr>
          <w:rFonts w:hint="eastAsia" w:ascii="宋体" w:hAnsi="宋体" w:eastAsia="宋体" w:cs="宋体"/>
          <w:highlight w:val="none"/>
        </w:rPr>
        <w:t>和性能要求响应</w:t>
      </w:r>
      <w:r>
        <w:rPr>
          <w:rFonts w:hint="eastAsia" w:ascii="宋体" w:hAnsi="宋体" w:eastAsia="宋体" w:cs="宋体"/>
          <w:szCs w:val="21"/>
          <w:highlight w:val="none"/>
        </w:rPr>
        <w:t xml:space="preserve">表（投标方填写） </w:t>
      </w:r>
    </w:p>
    <w:tbl>
      <w:tblPr>
        <w:tblStyle w:val="12"/>
        <w:tblW w:w="8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734"/>
        <w:gridCol w:w="695"/>
        <w:gridCol w:w="3112"/>
        <w:gridCol w:w="1041"/>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8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734"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695"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5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bCs w:val="0"/>
                <w:kern w:val="2"/>
                <w:szCs w:val="21"/>
              </w:rPr>
            </w:pPr>
            <w:r>
              <w:rPr>
                <w:rFonts w:hint="eastAsia" w:ascii="宋体" w:hAnsi="宋体" w:eastAsia="宋体" w:cs="宋体"/>
                <w:szCs w:val="21"/>
              </w:rPr>
              <w:t>1</w:t>
            </w:r>
          </w:p>
        </w:tc>
        <w:tc>
          <w:tcPr>
            <w:tcW w:w="1734" w:type="dxa"/>
            <w:vAlign w:val="center"/>
          </w:tcPr>
          <w:p>
            <w:pPr>
              <w:jc w:val="center"/>
              <w:rPr>
                <w:rFonts w:hint="default" w:ascii="宋体" w:hAnsi="宋体" w:eastAsia="宋体" w:cs="宋体"/>
                <w:szCs w:val="21"/>
                <w:lang w:val="en-US" w:eastAsia="zh-CN"/>
              </w:rPr>
            </w:pPr>
            <w:r>
              <w:rPr>
                <w:rFonts w:hint="eastAsia" w:asciiTheme="minorEastAsia" w:hAnsiTheme="minorEastAsia" w:eastAsiaTheme="minorEastAsia"/>
                <w:szCs w:val="24"/>
              </w:rPr>
              <w:t>紫外探测器寿命</w:t>
            </w:r>
          </w:p>
        </w:tc>
        <w:tc>
          <w:tcPr>
            <w:tcW w:w="695" w:type="dxa"/>
            <w:vAlign w:val="center"/>
          </w:tcPr>
          <w:p>
            <w:pPr>
              <w:jc w:val="center"/>
              <w:rPr>
                <w:rFonts w:hint="default" w:ascii="宋体" w:hAnsi="宋体" w:cs="宋体"/>
                <w:szCs w:val="21"/>
                <w:lang w:val="en-US" w:eastAsia="zh-CN"/>
              </w:rPr>
            </w:pPr>
            <w:r>
              <w:rPr>
                <w:rFonts w:hint="eastAsia" w:ascii="宋体" w:hAnsi="宋体" w:cs="宋体"/>
                <w:szCs w:val="21"/>
                <w:lang w:val="en-US" w:eastAsia="zh-CN"/>
              </w:rPr>
              <w:t>-</w:t>
            </w:r>
          </w:p>
        </w:tc>
        <w:tc>
          <w:tcPr>
            <w:tcW w:w="3112" w:type="dxa"/>
            <w:vAlign w:val="center"/>
          </w:tcPr>
          <w:p>
            <w:pPr>
              <w:jc w:val="center"/>
              <w:rPr>
                <w:rFonts w:hint="default" w:ascii="宋体" w:hAnsi="宋体" w:eastAsia="宋体" w:cs="宋体"/>
                <w:szCs w:val="21"/>
                <w:lang w:val="en-US" w:eastAsia="zh-CN"/>
              </w:rPr>
            </w:pPr>
            <w:r>
              <w:rPr>
                <w:rFonts w:hint="eastAsia" w:ascii="宋体" w:hAnsi="宋体"/>
                <w:szCs w:val="21"/>
              </w:rPr>
              <w:t>高灵敏度、高增益探紫外探测器，寿命无衰减</w:t>
            </w:r>
          </w:p>
        </w:tc>
        <w:tc>
          <w:tcPr>
            <w:tcW w:w="1041" w:type="dxa"/>
            <w:vAlign w:val="center"/>
          </w:tcPr>
          <w:p>
            <w:pPr>
              <w:widowControl/>
              <w:jc w:val="center"/>
              <w:rPr>
                <w:rFonts w:hint="eastAsia" w:ascii="宋体" w:hAnsi="宋体" w:eastAsia="宋体" w:cs="宋体"/>
                <w:bCs/>
                <w:kern w:val="0"/>
                <w:szCs w:val="21"/>
              </w:rPr>
            </w:pPr>
          </w:p>
        </w:tc>
        <w:tc>
          <w:tcPr>
            <w:tcW w:w="1652"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734" w:type="dxa"/>
            <w:vAlign w:val="center"/>
          </w:tcPr>
          <w:p>
            <w:pPr>
              <w:jc w:val="center"/>
              <w:rPr>
                <w:rFonts w:hint="eastAsia" w:ascii="宋体" w:hAnsi="宋体" w:eastAsia="宋体" w:cs="宋体"/>
                <w:szCs w:val="21"/>
                <w:lang w:val="en-US"/>
              </w:rPr>
            </w:pPr>
            <w:r>
              <w:rPr>
                <w:rFonts w:hint="eastAsia" w:asciiTheme="minorEastAsia" w:hAnsiTheme="minorEastAsia" w:eastAsiaTheme="minorEastAsia"/>
                <w:szCs w:val="24"/>
              </w:rPr>
              <w:t>最小紫外光灵敏度</w:t>
            </w:r>
          </w:p>
        </w:tc>
        <w:tc>
          <w:tcPr>
            <w:tcW w:w="695"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watt/cm2</w:t>
            </w:r>
          </w:p>
        </w:tc>
        <w:tc>
          <w:tcPr>
            <w:tcW w:w="3112" w:type="dxa"/>
            <w:vAlign w:val="center"/>
          </w:tcPr>
          <w:p>
            <w:pPr>
              <w:jc w:val="center"/>
              <w:rPr>
                <w:rFonts w:hint="default" w:ascii="宋体" w:hAnsi="宋体" w:eastAsia="宋体" w:cs="宋体"/>
                <w:szCs w:val="21"/>
                <w:lang w:val="en-US" w:eastAsia="zh-CN"/>
              </w:rPr>
            </w:pPr>
            <w:r>
              <w:rPr>
                <w:rFonts w:hint="eastAsia" w:asciiTheme="minorEastAsia" w:hAnsiTheme="minorEastAsia" w:eastAsiaTheme="minorEastAsia"/>
                <w:szCs w:val="24"/>
              </w:rPr>
              <w:t>7.8×10-18</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734" w:type="dxa"/>
            <w:vAlign w:val="center"/>
          </w:tcPr>
          <w:p>
            <w:pPr>
              <w:jc w:val="center"/>
              <w:rPr>
                <w:rFonts w:hint="default" w:ascii="宋体" w:hAnsi="宋体" w:eastAsia="宋体" w:cs="宋体"/>
                <w:szCs w:val="21"/>
                <w:lang w:val="en-US" w:eastAsia="zh-CN"/>
              </w:rPr>
            </w:pPr>
            <w:r>
              <w:rPr>
                <w:rFonts w:hint="eastAsia" w:asciiTheme="minorEastAsia" w:hAnsiTheme="minorEastAsia" w:eastAsiaTheme="minorEastAsia"/>
                <w:szCs w:val="24"/>
              </w:rPr>
              <w:t>最小放电灵敏度</w:t>
            </w:r>
          </w:p>
        </w:tc>
        <w:tc>
          <w:tcPr>
            <w:tcW w:w="695"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 xml:space="preserve">pC@8m </w:t>
            </w:r>
          </w:p>
        </w:tc>
        <w:tc>
          <w:tcPr>
            <w:tcW w:w="3112" w:type="dxa"/>
            <w:vAlign w:val="center"/>
          </w:tcPr>
          <w:p>
            <w:pPr>
              <w:jc w:val="center"/>
              <w:rPr>
                <w:rFonts w:hint="default" w:ascii="宋体" w:hAnsi="宋体" w:eastAsia="宋体" w:cs="宋体"/>
                <w:szCs w:val="21"/>
                <w:lang w:val="en-US" w:eastAsia="zh-CN"/>
              </w:rPr>
            </w:pPr>
            <w:r>
              <w:rPr>
                <w:rFonts w:hint="eastAsia" w:asciiTheme="minorEastAsia" w:hAnsiTheme="minorEastAsia" w:eastAsiaTheme="minorEastAsia"/>
                <w:szCs w:val="24"/>
              </w:rPr>
              <w:t>1.0</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734" w:type="dxa"/>
            <w:vAlign w:val="center"/>
          </w:tcPr>
          <w:p>
            <w:pPr>
              <w:jc w:val="center"/>
              <w:rPr>
                <w:rFonts w:hint="default" w:ascii="宋体" w:hAnsi="宋体" w:eastAsia="宋体" w:cs="宋体"/>
                <w:szCs w:val="21"/>
                <w:lang w:val="en-US" w:eastAsia="zh-CN"/>
              </w:rPr>
            </w:pPr>
            <w:r>
              <w:rPr>
                <w:rFonts w:hint="eastAsia" w:asciiTheme="minorEastAsia" w:hAnsiTheme="minorEastAsia" w:eastAsiaTheme="minorEastAsia"/>
                <w:szCs w:val="24"/>
              </w:rPr>
              <w:t>波长范围</w:t>
            </w:r>
          </w:p>
        </w:tc>
        <w:tc>
          <w:tcPr>
            <w:tcW w:w="695"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nm</w:t>
            </w:r>
          </w:p>
        </w:tc>
        <w:tc>
          <w:tcPr>
            <w:tcW w:w="3112" w:type="dxa"/>
            <w:vAlign w:val="center"/>
          </w:tcPr>
          <w:p>
            <w:pPr>
              <w:jc w:val="center"/>
              <w:rPr>
                <w:rFonts w:hint="eastAsia" w:ascii="宋体" w:hAnsi="宋体" w:eastAsia="宋体" w:cs="宋体"/>
                <w:szCs w:val="21"/>
                <w:lang w:val="en-US"/>
              </w:rPr>
            </w:pPr>
            <w:r>
              <w:rPr>
                <w:rFonts w:hint="eastAsia" w:asciiTheme="minorEastAsia" w:hAnsiTheme="minorEastAsia" w:eastAsiaTheme="minorEastAsia"/>
                <w:szCs w:val="24"/>
              </w:rPr>
              <w:t>240～280</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5</w:t>
            </w:r>
          </w:p>
        </w:tc>
        <w:tc>
          <w:tcPr>
            <w:tcW w:w="1734" w:type="dxa"/>
            <w:vAlign w:val="center"/>
          </w:tcPr>
          <w:p>
            <w:pPr>
              <w:jc w:val="center"/>
              <w:rPr>
                <w:rFonts w:hint="default" w:ascii="宋体" w:hAnsi="宋体" w:cs="宋体"/>
                <w:szCs w:val="21"/>
                <w:lang w:val="en-US" w:eastAsia="zh-CN"/>
              </w:rPr>
            </w:pPr>
            <w:r>
              <w:rPr>
                <w:rFonts w:hint="eastAsia" w:asciiTheme="minorEastAsia" w:hAnsiTheme="minorEastAsia" w:eastAsiaTheme="minorEastAsia"/>
                <w:szCs w:val="24"/>
              </w:rPr>
              <w:t>视场角</w:t>
            </w:r>
          </w:p>
        </w:tc>
        <w:tc>
          <w:tcPr>
            <w:tcW w:w="695" w:type="dxa"/>
            <w:vAlign w:val="center"/>
          </w:tcPr>
          <w:p>
            <w:pPr>
              <w:jc w:val="center"/>
              <w:rPr>
                <w:rFonts w:hint="default"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w:t>
            </w:r>
          </w:p>
        </w:tc>
        <w:tc>
          <w:tcPr>
            <w:tcW w:w="3112" w:type="dxa"/>
            <w:vAlign w:val="center"/>
          </w:tcPr>
          <w:p>
            <w:pPr>
              <w:jc w:val="center"/>
              <w:rPr>
                <w:rFonts w:hint="default" w:ascii="宋体" w:hAnsi="宋体" w:eastAsia="宋体" w:cs="宋体"/>
                <w:szCs w:val="21"/>
                <w:lang w:val="en-US" w:eastAsia="zh-CN"/>
              </w:rPr>
            </w:pPr>
            <w:r>
              <w:rPr>
                <w:rFonts w:hint="eastAsia" w:asciiTheme="minorEastAsia" w:hAnsiTheme="minorEastAsia" w:eastAsiaTheme="minorEastAsia"/>
                <w:szCs w:val="24"/>
              </w:rPr>
              <w:t>18°×13.5°</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6</w:t>
            </w:r>
          </w:p>
        </w:tc>
        <w:tc>
          <w:tcPr>
            <w:tcW w:w="1734" w:type="dxa"/>
            <w:vAlign w:val="center"/>
          </w:tcPr>
          <w:p>
            <w:pPr>
              <w:jc w:val="center"/>
              <w:rPr>
                <w:rFonts w:hint="default" w:ascii="宋体" w:hAnsi="宋体" w:eastAsia="宋体" w:cs="宋体"/>
                <w:szCs w:val="21"/>
                <w:lang w:val="en-US" w:eastAsia="zh-CN"/>
              </w:rPr>
            </w:pPr>
            <w:r>
              <w:rPr>
                <w:rFonts w:hint="eastAsia" w:asciiTheme="minorEastAsia" w:hAnsiTheme="minorEastAsia" w:eastAsiaTheme="minorEastAsia"/>
                <w:szCs w:val="24"/>
              </w:rPr>
              <w:t>放大倍数</w:t>
            </w:r>
          </w:p>
        </w:tc>
        <w:tc>
          <w:tcPr>
            <w:tcW w:w="695"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倍</w:t>
            </w:r>
          </w:p>
        </w:tc>
        <w:tc>
          <w:tcPr>
            <w:tcW w:w="3112" w:type="dxa"/>
            <w:vAlign w:val="center"/>
          </w:tcPr>
          <w:p>
            <w:pPr>
              <w:jc w:val="center"/>
              <w:rPr>
                <w:rFonts w:hint="eastAsia" w:ascii="宋体" w:hAnsi="宋体" w:eastAsia="宋体" w:cs="宋体"/>
                <w:szCs w:val="21"/>
                <w:lang w:val="en-US"/>
              </w:rPr>
            </w:pPr>
            <w:r>
              <w:rPr>
                <w:rFonts w:hint="eastAsia" w:asciiTheme="minorEastAsia" w:hAnsiTheme="minorEastAsia" w:eastAsiaTheme="minorEastAsia"/>
                <w:szCs w:val="24"/>
              </w:rPr>
              <w:t>1-4X连续放大</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7</w:t>
            </w:r>
          </w:p>
        </w:tc>
        <w:tc>
          <w:tcPr>
            <w:tcW w:w="1734" w:type="dxa"/>
            <w:vAlign w:val="center"/>
          </w:tcPr>
          <w:p>
            <w:pPr>
              <w:jc w:val="center"/>
              <w:rPr>
                <w:rFonts w:hint="eastAsia" w:ascii="宋体" w:hAnsi="宋体" w:eastAsia="宋体" w:cs="宋体"/>
                <w:szCs w:val="21"/>
                <w:lang w:val="en-US"/>
              </w:rPr>
            </w:pPr>
            <w:r>
              <w:rPr>
                <w:rFonts w:hint="eastAsia" w:asciiTheme="minorEastAsia" w:hAnsiTheme="minorEastAsia" w:eastAsiaTheme="minorEastAsia"/>
                <w:szCs w:val="24"/>
              </w:rPr>
              <w:t>聚焦范围</w:t>
            </w:r>
          </w:p>
        </w:tc>
        <w:tc>
          <w:tcPr>
            <w:tcW w:w="695"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米</w:t>
            </w:r>
          </w:p>
        </w:tc>
        <w:tc>
          <w:tcPr>
            <w:tcW w:w="3112" w:type="dxa"/>
            <w:vAlign w:val="center"/>
          </w:tcPr>
          <w:p>
            <w:pPr>
              <w:jc w:val="center"/>
              <w:rPr>
                <w:rFonts w:hint="eastAsia" w:ascii="宋体" w:hAnsi="宋体" w:eastAsia="宋体" w:cs="宋体"/>
                <w:szCs w:val="21"/>
                <w:lang w:val="en-US" w:eastAsia="zh-CN"/>
              </w:rPr>
            </w:pPr>
            <w:r>
              <w:rPr>
                <w:rFonts w:hint="eastAsia" w:asciiTheme="minorEastAsia" w:hAnsiTheme="minorEastAsia" w:eastAsiaTheme="minorEastAsia"/>
                <w:szCs w:val="24"/>
              </w:rPr>
              <w:t>3m～∞</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8</w:t>
            </w:r>
          </w:p>
        </w:tc>
        <w:tc>
          <w:tcPr>
            <w:tcW w:w="1734" w:type="dxa"/>
            <w:vAlign w:val="center"/>
          </w:tcPr>
          <w:p>
            <w:pPr>
              <w:jc w:val="center"/>
              <w:rPr>
                <w:rFonts w:hint="eastAsia" w:ascii="宋体" w:hAnsi="宋体" w:eastAsia="宋体" w:cs="宋体"/>
                <w:szCs w:val="21"/>
                <w:lang w:val="en-US"/>
              </w:rPr>
            </w:pPr>
            <w:r>
              <w:rPr>
                <w:rFonts w:hint="eastAsia" w:asciiTheme="minorEastAsia" w:hAnsiTheme="minorEastAsia" w:eastAsiaTheme="minorEastAsia"/>
                <w:szCs w:val="24"/>
              </w:rPr>
              <w:t>最小可见光灵敏度</w:t>
            </w:r>
          </w:p>
        </w:tc>
        <w:tc>
          <w:tcPr>
            <w:tcW w:w="695"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Lux</w:t>
            </w:r>
          </w:p>
        </w:tc>
        <w:tc>
          <w:tcPr>
            <w:tcW w:w="3112" w:type="dxa"/>
            <w:vAlign w:val="center"/>
          </w:tcPr>
          <w:p>
            <w:pPr>
              <w:jc w:val="center"/>
              <w:rPr>
                <w:rFonts w:hint="eastAsia" w:ascii="宋体" w:hAnsi="宋体" w:eastAsia="宋体" w:cs="宋体"/>
                <w:szCs w:val="21"/>
                <w:lang w:val="en-US"/>
              </w:rPr>
            </w:pPr>
            <w:r>
              <w:rPr>
                <w:rFonts w:hint="eastAsia" w:asciiTheme="minorEastAsia" w:hAnsiTheme="minorEastAsia" w:eastAsiaTheme="minorEastAsia"/>
                <w:szCs w:val="24"/>
              </w:rPr>
              <w:t>0.1</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w:t>
            </w:r>
          </w:p>
        </w:tc>
        <w:tc>
          <w:tcPr>
            <w:tcW w:w="1734" w:type="dxa"/>
            <w:vAlign w:val="center"/>
          </w:tcPr>
          <w:p>
            <w:pPr>
              <w:jc w:val="center"/>
              <w:rPr>
                <w:rFonts w:hint="eastAsia" w:ascii="宋体" w:hAnsi="宋体" w:eastAsia="宋体" w:cs="宋体"/>
                <w:szCs w:val="21"/>
              </w:rPr>
            </w:pPr>
            <w:r>
              <w:rPr>
                <w:rFonts w:hint="eastAsia" w:asciiTheme="minorEastAsia" w:hAnsiTheme="minorEastAsia" w:eastAsiaTheme="minorEastAsia"/>
                <w:szCs w:val="24"/>
              </w:rPr>
              <w:t>分辨率</w:t>
            </w:r>
          </w:p>
        </w:tc>
        <w:tc>
          <w:tcPr>
            <w:tcW w:w="695"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1080P，1920×1080</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10</w:t>
            </w:r>
          </w:p>
        </w:tc>
        <w:tc>
          <w:tcPr>
            <w:tcW w:w="1734" w:type="dxa"/>
            <w:vAlign w:val="center"/>
          </w:tcPr>
          <w:p>
            <w:pPr>
              <w:jc w:val="center"/>
              <w:rPr>
                <w:rFonts w:hint="eastAsia" w:ascii="宋体" w:hAnsi="宋体" w:eastAsia="宋体" w:cs="宋体"/>
                <w:szCs w:val="21"/>
              </w:rPr>
            </w:pPr>
            <w:r>
              <w:rPr>
                <w:rFonts w:hint="eastAsia" w:asciiTheme="minorEastAsia" w:hAnsiTheme="minorEastAsia" w:eastAsiaTheme="minorEastAsia"/>
                <w:szCs w:val="24"/>
              </w:rPr>
              <w:t>聚焦</w:t>
            </w:r>
          </w:p>
        </w:tc>
        <w:tc>
          <w:tcPr>
            <w:tcW w:w="695"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自动/手动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11</w:t>
            </w:r>
          </w:p>
        </w:tc>
        <w:tc>
          <w:tcPr>
            <w:tcW w:w="1734" w:type="dxa"/>
            <w:vAlign w:val="center"/>
          </w:tcPr>
          <w:p>
            <w:pPr>
              <w:jc w:val="center"/>
              <w:rPr>
                <w:rFonts w:hint="eastAsia" w:ascii="宋体" w:hAnsi="宋体" w:eastAsia="宋体" w:cs="宋体"/>
                <w:szCs w:val="21"/>
              </w:rPr>
            </w:pPr>
            <w:r>
              <w:rPr>
                <w:rFonts w:hint="eastAsia" w:asciiTheme="minorEastAsia" w:hAnsiTheme="minorEastAsia" w:eastAsiaTheme="minorEastAsia"/>
                <w:szCs w:val="24"/>
              </w:rPr>
              <w:t>聚焦范围</w:t>
            </w:r>
          </w:p>
        </w:tc>
        <w:tc>
          <w:tcPr>
            <w:tcW w:w="695"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米</w:t>
            </w:r>
          </w:p>
        </w:tc>
        <w:tc>
          <w:tcPr>
            <w:tcW w:w="3112"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1m～∞</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rPr>
              <w:t>1</w:t>
            </w:r>
            <w:r>
              <w:rPr>
                <w:rFonts w:hint="eastAsia" w:ascii="宋体" w:hAnsi="宋体" w:cs="宋体"/>
                <w:szCs w:val="21"/>
                <w:lang w:val="en-US" w:eastAsia="zh-CN"/>
              </w:rPr>
              <w:t>2</w:t>
            </w:r>
          </w:p>
        </w:tc>
        <w:tc>
          <w:tcPr>
            <w:tcW w:w="1734" w:type="dxa"/>
            <w:vAlign w:val="center"/>
          </w:tcPr>
          <w:p>
            <w:pPr>
              <w:jc w:val="center"/>
              <w:rPr>
                <w:rFonts w:hint="eastAsia" w:ascii="宋体" w:hAnsi="宋体" w:eastAsia="宋体" w:cs="宋体"/>
                <w:szCs w:val="21"/>
              </w:rPr>
            </w:pPr>
            <w:r>
              <w:rPr>
                <w:rFonts w:hint="eastAsia" w:asciiTheme="minorEastAsia" w:hAnsiTheme="minorEastAsia" w:eastAsiaTheme="minorEastAsia"/>
                <w:szCs w:val="24"/>
              </w:rPr>
              <w:t>放大倍数</w:t>
            </w:r>
          </w:p>
        </w:tc>
        <w:tc>
          <w:tcPr>
            <w:tcW w:w="695"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倍</w:t>
            </w:r>
          </w:p>
        </w:tc>
        <w:tc>
          <w:tcPr>
            <w:tcW w:w="3112"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10X光学变焦,4X数字变焦</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eastAsia="宋体" w:cs="宋体"/>
                <w:szCs w:val="21"/>
                <w:lang w:val="en-US" w:eastAsia="zh-CN"/>
              </w:rPr>
              <w:t>13</w:t>
            </w:r>
          </w:p>
        </w:tc>
        <w:tc>
          <w:tcPr>
            <w:tcW w:w="1734" w:type="dxa"/>
            <w:vAlign w:val="center"/>
          </w:tcPr>
          <w:p>
            <w:pPr>
              <w:jc w:val="center"/>
              <w:rPr>
                <w:rFonts w:hint="eastAsia" w:ascii="宋体" w:hAnsi="宋体" w:eastAsia="宋体" w:cs="宋体"/>
                <w:szCs w:val="21"/>
              </w:rPr>
            </w:pPr>
            <w:r>
              <w:rPr>
                <w:rFonts w:hint="eastAsia" w:asciiTheme="minorEastAsia" w:hAnsiTheme="minorEastAsia" w:eastAsiaTheme="minorEastAsia"/>
                <w:szCs w:val="24"/>
              </w:rPr>
              <w:t>防护性能参数</w:t>
            </w:r>
          </w:p>
        </w:tc>
        <w:tc>
          <w:tcPr>
            <w:tcW w:w="695" w:type="dxa"/>
            <w:vAlign w:val="center"/>
          </w:tcPr>
          <w:p>
            <w:pPr>
              <w:jc w:val="center"/>
              <w:rPr>
                <w:rFonts w:hint="default"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IP65</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bCs/>
                <w:kern w:val="0"/>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eastAsia="宋体" w:cs="宋体"/>
                <w:szCs w:val="21"/>
                <w:lang w:val="en-US" w:eastAsia="zh-CN"/>
              </w:rPr>
              <w:t>14</w:t>
            </w:r>
          </w:p>
        </w:tc>
        <w:tc>
          <w:tcPr>
            <w:tcW w:w="1734" w:type="dxa"/>
            <w:vAlign w:val="center"/>
          </w:tcPr>
          <w:p>
            <w:pPr>
              <w:jc w:val="center"/>
              <w:rPr>
                <w:rFonts w:hint="eastAsia" w:ascii="宋体" w:hAnsi="宋体" w:eastAsia="宋体" w:cs="宋体"/>
                <w:szCs w:val="21"/>
              </w:rPr>
            </w:pPr>
            <w:r>
              <w:rPr>
                <w:rFonts w:hint="eastAsia" w:asciiTheme="minorEastAsia" w:hAnsiTheme="minorEastAsia" w:eastAsiaTheme="minorEastAsia"/>
                <w:szCs w:val="24"/>
              </w:rPr>
              <w:t>图像模式</w:t>
            </w:r>
          </w:p>
        </w:tc>
        <w:tc>
          <w:tcPr>
            <w:tcW w:w="695" w:type="dxa"/>
            <w:vAlign w:val="center"/>
          </w:tcPr>
          <w:p>
            <w:pPr>
              <w:jc w:val="center"/>
              <w:rPr>
                <w:rFonts w:hint="default"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只显示紫外光图像/只显示可见光图像/可见光和紫外光组合</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eastAsia="宋体" w:cs="宋体"/>
                <w:szCs w:val="21"/>
                <w:lang w:val="en-US" w:eastAsia="zh-CN"/>
              </w:rPr>
              <w:t>15</w:t>
            </w:r>
          </w:p>
        </w:tc>
        <w:tc>
          <w:tcPr>
            <w:tcW w:w="1734" w:type="dxa"/>
            <w:vAlign w:val="center"/>
          </w:tcPr>
          <w:p>
            <w:pPr>
              <w:jc w:val="center"/>
              <w:rPr>
                <w:rFonts w:hint="eastAsia" w:ascii="宋体" w:hAnsi="宋体" w:eastAsia="宋体" w:cs="宋体"/>
                <w:szCs w:val="21"/>
              </w:rPr>
            </w:pPr>
            <w:r>
              <w:rPr>
                <w:rFonts w:hint="eastAsia" w:asciiTheme="minorEastAsia" w:hAnsiTheme="minorEastAsia" w:eastAsiaTheme="minorEastAsia"/>
                <w:szCs w:val="24"/>
              </w:rPr>
              <w:t>叠加精度</w:t>
            </w:r>
          </w:p>
        </w:tc>
        <w:tc>
          <w:tcPr>
            <w:tcW w:w="695"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mrad</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≤1</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eastAsia="宋体" w:cs="宋体"/>
                <w:szCs w:val="21"/>
                <w:lang w:val="en-US" w:eastAsia="zh-CN"/>
              </w:rPr>
              <w:t>16</w:t>
            </w:r>
          </w:p>
        </w:tc>
        <w:tc>
          <w:tcPr>
            <w:tcW w:w="1734" w:type="dxa"/>
            <w:vAlign w:val="center"/>
          </w:tcPr>
          <w:p>
            <w:pPr>
              <w:jc w:val="center"/>
              <w:rPr>
                <w:rFonts w:hint="eastAsia" w:ascii="宋体" w:hAnsi="宋体" w:eastAsia="宋体" w:cs="宋体"/>
                <w:szCs w:val="21"/>
              </w:rPr>
            </w:pPr>
            <w:r>
              <w:rPr>
                <w:rFonts w:hint="eastAsia" w:asciiTheme="minorEastAsia" w:hAnsiTheme="minorEastAsia" w:eastAsiaTheme="minorEastAsia"/>
                <w:szCs w:val="24"/>
              </w:rPr>
              <w:t>紫外成像角分辨率</w:t>
            </w:r>
          </w:p>
        </w:tc>
        <w:tc>
          <w:tcPr>
            <w:tcW w:w="695"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mrad</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≤5</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eastAsia="宋体" w:cs="宋体"/>
                <w:szCs w:val="21"/>
                <w:lang w:val="en-US" w:eastAsia="zh-CN"/>
              </w:rPr>
              <w:t>17</w:t>
            </w:r>
          </w:p>
        </w:tc>
        <w:tc>
          <w:tcPr>
            <w:tcW w:w="1734" w:type="dxa"/>
            <w:vAlign w:val="center"/>
          </w:tcPr>
          <w:p>
            <w:pPr>
              <w:jc w:val="center"/>
              <w:rPr>
                <w:rFonts w:hint="eastAsia" w:ascii="宋体" w:hAnsi="宋体" w:eastAsia="宋体" w:cs="宋体"/>
                <w:szCs w:val="21"/>
              </w:rPr>
            </w:pPr>
            <w:r>
              <w:rPr>
                <w:rFonts w:hint="eastAsia" w:asciiTheme="minorEastAsia" w:hAnsiTheme="minorEastAsia" w:eastAsiaTheme="minorEastAsia"/>
                <w:szCs w:val="24"/>
              </w:rPr>
              <w:t>紫外光颜色</w:t>
            </w:r>
          </w:p>
        </w:tc>
        <w:tc>
          <w:tcPr>
            <w:tcW w:w="695" w:type="dxa"/>
            <w:vAlign w:val="center"/>
          </w:tcPr>
          <w:p>
            <w:pPr>
              <w:jc w:val="center"/>
              <w:rPr>
                <w:rFonts w:hint="default"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白、红、绿、黄、紫</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eastAsia="宋体" w:cs="宋体"/>
                <w:szCs w:val="21"/>
                <w:lang w:val="en-US" w:eastAsia="zh-CN"/>
              </w:rPr>
              <w:t>18</w:t>
            </w:r>
          </w:p>
        </w:tc>
        <w:tc>
          <w:tcPr>
            <w:tcW w:w="1734" w:type="dxa"/>
            <w:vAlign w:val="center"/>
          </w:tcPr>
          <w:p>
            <w:pPr>
              <w:jc w:val="center"/>
              <w:rPr>
                <w:rFonts w:hint="eastAsia" w:ascii="宋体" w:hAnsi="宋体" w:eastAsia="宋体" w:cs="宋体"/>
                <w:szCs w:val="21"/>
              </w:rPr>
            </w:pPr>
            <w:r>
              <w:rPr>
                <w:rFonts w:hint="eastAsia" w:asciiTheme="minorEastAsia" w:hAnsiTheme="minorEastAsia" w:eastAsiaTheme="minorEastAsia"/>
                <w:szCs w:val="24"/>
              </w:rPr>
              <w:t>图像分辨率</w:t>
            </w:r>
          </w:p>
        </w:tc>
        <w:tc>
          <w:tcPr>
            <w:tcW w:w="695" w:type="dxa"/>
            <w:vAlign w:val="center"/>
          </w:tcPr>
          <w:p>
            <w:pPr>
              <w:jc w:val="center"/>
              <w:rPr>
                <w:rFonts w:hint="default"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960×720</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eastAsia="宋体" w:cs="宋体"/>
                <w:szCs w:val="21"/>
                <w:lang w:val="en-US" w:eastAsia="zh-CN"/>
              </w:rPr>
              <w:t>19</w:t>
            </w:r>
          </w:p>
        </w:tc>
        <w:tc>
          <w:tcPr>
            <w:tcW w:w="1734" w:type="dxa"/>
            <w:vAlign w:val="center"/>
          </w:tcPr>
          <w:p>
            <w:pPr>
              <w:jc w:val="center"/>
              <w:rPr>
                <w:rFonts w:hint="eastAsia" w:ascii="宋体" w:hAnsi="宋体" w:eastAsia="宋体" w:cs="宋体"/>
                <w:szCs w:val="21"/>
              </w:rPr>
            </w:pPr>
            <w:r>
              <w:rPr>
                <w:rFonts w:hint="eastAsia" w:asciiTheme="minorEastAsia" w:hAnsiTheme="minorEastAsia" w:eastAsiaTheme="minorEastAsia"/>
                <w:szCs w:val="24"/>
              </w:rPr>
              <w:t>通讯接口</w:t>
            </w:r>
          </w:p>
        </w:tc>
        <w:tc>
          <w:tcPr>
            <w:tcW w:w="695" w:type="dxa"/>
            <w:vAlign w:val="center"/>
          </w:tcPr>
          <w:p>
            <w:pPr>
              <w:jc w:val="center"/>
              <w:rPr>
                <w:rFonts w:hint="default"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Payload SDK</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eastAsia="宋体" w:cs="宋体"/>
                <w:szCs w:val="21"/>
                <w:lang w:val="en-US" w:eastAsia="zh-CN"/>
              </w:rPr>
              <w:t>20</w:t>
            </w:r>
          </w:p>
        </w:tc>
        <w:tc>
          <w:tcPr>
            <w:tcW w:w="1734" w:type="dxa"/>
            <w:vAlign w:val="center"/>
          </w:tcPr>
          <w:p>
            <w:pPr>
              <w:jc w:val="center"/>
              <w:rPr>
                <w:rFonts w:hint="eastAsia" w:ascii="宋体" w:hAnsi="宋体" w:eastAsia="宋体" w:cs="宋体"/>
                <w:szCs w:val="21"/>
              </w:rPr>
            </w:pPr>
            <w:r>
              <w:rPr>
                <w:rFonts w:hint="eastAsia" w:asciiTheme="minorEastAsia" w:hAnsiTheme="minorEastAsia" w:eastAsiaTheme="minorEastAsia"/>
                <w:szCs w:val="24"/>
              </w:rPr>
              <w:t>电源输入</w:t>
            </w:r>
          </w:p>
        </w:tc>
        <w:tc>
          <w:tcPr>
            <w:tcW w:w="695"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V</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DC: 13.6V（DJI X-Port）</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default" w:ascii="宋体" w:hAnsi="宋体" w:eastAsia="宋体" w:cs="宋体"/>
                <w:szCs w:val="21"/>
                <w:lang w:val="en-US" w:eastAsia="zh-CN"/>
              </w:rPr>
            </w:pPr>
            <w:r>
              <w:rPr>
                <w:rFonts w:hint="eastAsia" w:ascii="宋体" w:hAnsi="宋体" w:eastAsia="宋体" w:cs="宋体"/>
                <w:szCs w:val="21"/>
                <w:lang w:val="en-US" w:eastAsia="zh-CN"/>
              </w:rPr>
              <w:t>21</w:t>
            </w:r>
          </w:p>
        </w:tc>
        <w:tc>
          <w:tcPr>
            <w:tcW w:w="1734" w:type="dxa"/>
            <w:vAlign w:val="center"/>
          </w:tcPr>
          <w:p>
            <w:pPr>
              <w:jc w:val="center"/>
              <w:rPr>
                <w:rFonts w:hint="eastAsia" w:ascii="宋体" w:hAnsi="宋体" w:eastAsia="宋体" w:cs="宋体"/>
                <w:szCs w:val="21"/>
              </w:rPr>
            </w:pPr>
            <w:r>
              <w:rPr>
                <w:rFonts w:hint="eastAsia" w:asciiTheme="minorEastAsia" w:hAnsiTheme="minorEastAsia" w:eastAsiaTheme="minorEastAsia"/>
                <w:szCs w:val="24"/>
              </w:rPr>
              <w:t>功耗</w:t>
            </w:r>
          </w:p>
        </w:tc>
        <w:tc>
          <w:tcPr>
            <w:tcW w:w="695"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W</w:t>
            </w:r>
          </w:p>
        </w:tc>
        <w:tc>
          <w:tcPr>
            <w:tcW w:w="3112"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8W</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bl>
    <w:p>
      <w:pPr>
        <w:jc w:val="center"/>
        <w:rPr>
          <w:rFonts w:hint="eastAsia" w:ascii="宋体" w:hAnsi="宋体" w:eastAsia="宋体" w:cs="宋体"/>
          <w:szCs w:val="21"/>
        </w:rPr>
      </w:pPr>
    </w:p>
    <w:p>
      <w:pPr>
        <w:jc w:val="center"/>
        <w:rPr>
          <w:rFonts w:hint="eastAsia" w:ascii="宋体" w:hAnsi="宋体" w:eastAsia="宋体" w:cs="宋体"/>
          <w:szCs w:val="21"/>
          <w:highlight w:val="none"/>
        </w:rPr>
      </w:pPr>
      <w:r>
        <w:rPr>
          <w:rFonts w:hint="eastAsia" w:ascii="宋体" w:hAnsi="宋体" w:eastAsia="宋体" w:cs="宋体"/>
          <w:szCs w:val="21"/>
          <w:highlight w:val="none"/>
        </w:rPr>
        <w:t>表</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rPr>
        <w:t xml:space="preserve">.2   </w:t>
      </w:r>
      <w:r>
        <w:rPr>
          <w:rFonts w:hint="eastAsia" w:asciiTheme="minorEastAsia" w:hAnsiTheme="minorEastAsia" w:eastAsiaTheme="minorEastAsia"/>
          <w:b w:val="0"/>
          <w:bCs w:val="0"/>
          <w:szCs w:val="24"/>
        </w:rPr>
        <w:t>多光紫外成像云台相机单元</w:t>
      </w:r>
      <w:r>
        <w:rPr>
          <w:rFonts w:hint="eastAsia" w:ascii="宋体" w:hAnsi="宋体" w:eastAsia="宋体" w:cs="宋体"/>
          <w:szCs w:val="21"/>
          <w:highlight w:val="none"/>
        </w:rPr>
        <w:t>技术参数和性能</w:t>
      </w:r>
      <w:r>
        <w:rPr>
          <w:rFonts w:hint="eastAsia" w:ascii="宋体" w:hAnsi="宋体" w:eastAsia="宋体" w:cs="宋体"/>
          <w:highlight w:val="none"/>
        </w:rPr>
        <w:t>要求响应</w:t>
      </w:r>
      <w:r>
        <w:rPr>
          <w:rFonts w:hint="eastAsia" w:ascii="宋体" w:hAnsi="宋体" w:eastAsia="宋体" w:cs="宋体"/>
          <w:szCs w:val="21"/>
          <w:highlight w:val="none"/>
        </w:rPr>
        <w:t xml:space="preserve">表（投标方填写） </w:t>
      </w:r>
    </w:p>
    <w:tbl>
      <w:tblPr>
        <w:tblStyle w:val="12"/>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70"/>
        <w:gridCol w:w="751"/>
        <w:gridCol w:w="3146"/>
        <w:gridCol w:w="1055"/>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blHeader/>
          <w:jc w:val="center"/>
        </w:trPr>
        <w:tc>
          <w:tcPr>
            <w:tcW w:w="70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70"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51"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4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5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8"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bCs/>
                <w:kern w:val="0"/>
                <w:sz w:val="21"/>
                <w:szCs w:val="21"/>
              </w:rPr>
            </w:pPr>
            <w:r>
              <w:rPr>
                <w:rFonts w:hint="eastAsia" w:ascii="宋体" w:hAnsi="宋体" w:eastAsia="宋体" w:cs="宋体"/>
                <w:kern w:val="0"/>
                <w:sz w:val="21"/>
                <w:szCs w:val="21"/>
                <w:lang w:bidi="ar"/>
              </w:rPr>
              <w:t>1</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紫外探测器寿命</w:t>
            </w:r>
          </w:p>
        </w:tc>
        <w:tc>
          <w:tcPr>
            <w:tcW w:w="751"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szCs w:val="21"/>
              </w:rPr>
              <w:t>高灵敏度、高增益探紫外探测器，寿命无衰减</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2</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最小紫外光灵敏度</w:t>
            </w:r>
          </w:p>
        </w:tc>
        <w:tc>
          <w:tcPr>
            <w:tcW w:w="751"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watt/cm2</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3×10-18</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3</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最小放电灵敏度</w:t>
            </w:r>
          </w:p>
        </w:tc>
        <w:tc>
          <w:tcPr>
            <w:tcW w:w="751"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 xml:space="preserve">pC@8m </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1.0</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4</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波长范围</w:t>
            </w:r>
          </w:p>
        </w:tc>
        <w:tc>
          <w:tcPr>
            <w:tcW w:w="751"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nm</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240～280</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5</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视场角</w:t>
            </w:r>
          </w:p>
        </w:tc>
        <w:tc>
          <w:tcPr>
            <w:tcW w:w="751"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18°×13.5°</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6</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放大倍数</w:t>
            </w:r>
          </w:p>
        </w:tc>
        <w:tc>
          <w:tcPr>
            <w:tcW w:w="751"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倍</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1-4X连续放大</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7</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聚焦范围</w:t>
            </w:r>
          </w:p>
        </w:tc>
        <w:tc>
          <w:tcPr>
            <w:tcW w:w="751"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米</w:t>
            </w:r>
          </w:p>
        </w:tc>
        <w:tc>
          <w:tcPr>
            <w:tcW w:w="3146"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3m～∞</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8</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红外探测器类型</w:t>
            </w:r>
          </w:p>
        </w:tc>
        <w:tc>
          <w:tcPr>
            <w:tcW w:w="751"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非制冷焦平面微量热型</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9</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分辨率</w:t>
            </w:r>
          </w:p>
        </w:tc>
        <w:tc>
          <w:tcPr>
            <w:tcW w:w="751"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640×512</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10</w:t>
            </w:r>
          </w:p>
        </w:tc>
        <w:tc>
          <w:tcPr>
            <w:tcW w:w="1670"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像元间距</w:t>
            </w:r>
          </w:p>
        </w:tc>
        <w:tc>
          <w:tcPr>
            <w:tcW w:w="751"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ascii="Arial" w:hAnsi="Arial" w:cs="Arial"/>
                <w:sz w:val="15"/>
                <w:szCs w:val="15"/>
              </w:rPr>
              <w:t>μm</w:t>
            </w:r>
          </w:p>
        </w:tc>
        <w:tc>
          <w:tcPr>
            <w:tcW w:w="3146"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12μm</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06" w:type="dxa"/>
            <w:vAlign w:val="center"/>
          </w:tcPr>
          <w:p>
            <w:pPr>
              <w:widowControl/>
              <w:jc w:val="center"/>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11</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波长范围</w:t>
            </w:r>
          </w:p>
        </w:tc>
        <w:tc>
          <w:tcPr>
            <w:tcW w:w="751"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ascii="Arial" w:hAnsi="Arial" w:cs="Arial"/>
                <w:sz w:val="15"/>
                <w:szCs w:val="15"/>
              </w:rPr>
              <w:t>μm</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7～14μm</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12</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热灵敏度</w:t>
            </w:r>
          </w:p>
        </w:tc>
        <w:tc>
          <w:tcPr>
            <w:tcW w:w="751"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ascii="Arial" w:hAnsi="Arial" w:cs="Arial"/>
                <w:sz w:val="15"/>
                <w:szCs w:val="15"/>
              </w:rPr>
              <w:t>mK</w:t>
            </w:r>
          </w:p>
        </w:tc>
        <w:tc>
          <w:tcPr>
            <w:tcW w:w="3146"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40mK</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13</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视场角</w:t>
            </w:r>
          </w:p>
        </w:tc>
        <w:tc>
          <w:tcPr>
            <w:tcW w:w="751"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33°×26°</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14</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空间分辨率</w:t>
            </w:r>
          </w:p>
        </w:tc>
        <w:tc>
          <w:tcPr>
            <w:tcW w:w="751"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ascii="Arial" w:hAnsi="Arial" w:cs="Arial"/>
                <w:sz w:val="15"/>
                <w:szCs w:val="15"/>
              </w:rPr>
              <w:t>mrad</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0.92mrad</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15</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聚焦</w:t>
            </w:r>
          </w:p>
        </w:tc>
        <w:tc>
          <w:tcPr>
            <w:tcW w:w="751"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定焦</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16</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放大倍数</w:t>
            </w:r>
          </w:p>
        </w:tc>
        <w:tc>
          <w:tcPr>
            <w:tcW w:w="751"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倍</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1-4X连续放大</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17</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最小可见光灵敏度</w:t>
            </w:r>
          </w:p>
        </w:tc>
        <w:tc>
          <w:tcPr>
            <w:tcW w:w="751"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Lux</w:t>
            </w:r>
          </w:p>
        </w:tc>
        <w:tc>
          <w:tcPr>
            <w:tcW w:w="3146"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0.1</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18</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分辨率</w:t>
            </w:r>
          </w:p>
        </w:tc>
        <w:tc>
          <w:tcPr>
            <w:tcW w:w="751"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w:t>
            </w:r>
          </w:p>
        </w:tc>
        <w:tc>
          <w:tcPr>
            <w:tcW w:w="3146"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1080P，1920×1080</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19</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聚焦</w:t>
            </w:r>
          </w:p>
        </w:tc>
        <w:tc>
          <w:tcPr>
            <w:tcW w:w="751"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w:t>
            </w:r>
          </w:p>
        </w:tc>
        <w:tc>
          <w:tcPr>
            <w:tcW w:w="3146"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自动/手动</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20</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聚焦范围</w:t>
            </w:r>
          </w:p>
        </w:tc>
        <w:tc>
          <w:tcPr>
            <w:tcW w:w="751"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米</w:t>
            </w:r>
          </w:p>
        </w:tc>
        <w:tc>
          <w:tcPr>
            <w:tcW w:w="3146"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1m～∞</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21</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放大倍数</w:t>
            </w:r>
          </w:p>
        </w:tc>
        <w:tc>
          <w:tcPr>
            <w:tcW w:w="751"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倍</w:t>
            </w:r>
          </w:p>
        </w:tc>
        <w:tc>
          <w:tcPr>
            <w:tcW w:w="3146"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10X光学变焦,4X数字变焦</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22</w:t>
            </w:r>
          </w:p>
        </w:tc>
        <w:tc>
          <w:tcPr>
            <w:tcW w:w="1670"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激光波长</w:t>
            </w:r>
          </w:p>
        </w:tc>
        <w:tc>
          <w:tcPr>
            <w:tcW w:w="751"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Arial" w:hAnsi="Arial" w:cs="Arial"/>
                <w:sz w:val="15"/>
                <w:szCs w:val="15"/>
              </w:rPr>
              <w:t>nm</w:t>
            </w:r>
          </w:p>
        </w:tc>
        <w:tc>
          <w:tcPr>
            <w:tcW w:w="3146"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850nm</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23</w:t>
            </w:r>
          </w:p>
        </w:tc>
        <w:tc>
          <w:tcPr>
            <w:tcW w:w="1670"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激光探测距离</w:t>
            </w:r>
          </w:p>
        </w:tc>
        <w:tc>
          <w:tcPr>
            <w:tcW w:w="751"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Arial" w:hAnsi="Arial" w:cs="Arial"/>
                <w:sz w:val="15"/>
                <w:szCs w:val="15"/>
              </w:rPr>
              <w:t>m</w:t>
            </w:r>
          </w:p>
        </w:tc>
        <w:tc>
          <w:tcPr>
            <w:tcW w:w="3146"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50m</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24</w:t>
            </w:r>
          </w:p>
        </w:tc>
        <w:tc>
          <w:tcPr>
            <w:tcW w:w="1670"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防护性能参数</w:t>
            </w:r>
          </w:p>
        </w:tc>
        <w:tc>
          <w:tcPr>
            <w:tcW w:w="751"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IP65</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25</w:t>
            </w:r>
          </w:p>
        </w:tc>
        <w:tc>
          <w:tcPr>
            <w:tcW w:w="1670"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图像模式</w:t>
            </w:r>
          </w:p>
        </w:tc>
        <w:tc>
          <w:tcPr>
            <w:tcW w:w="751" w:type="dxa"/>
            <w:vAlign w:val="center"/>
          </w:tcPr>
          <w:p>
            <w:pPr>
              <w:jc w:val="center"/>
              <w:rPr>
                <w:rFonts w:hint="default"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vAlign w:val="center"/>
          </w:tcPr>
          <w:p>
            <w:pPr>
              <w:jc w:val="center"/>
              <w:rPr>
                <w:rFonts w:hint="default"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紫外光图像/红外光图像/可见光图像/紫外和可见光叠加/红外和可见光叠加/紫外和红外光叠加</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bookmarkStart w:id="12" w:name="_Toc14949"/>
            <w:r>
              <w:rPr>
                <w:rFonts w:hint="eastAsia" w:ascii="宋体" w:hAnsi="宋体" w:cs="宋体"/>
                <w:kern w:val="0"/>
                <w:sz w:val="21"/>
                <w:szCs w:val="21"/>
                <w:lang w:val="en-US" w:eastAsia="zh-CN" w:bidi="ar"/>
              </w:rPr>
              <w:t>26</w:t>
            </w:r>
          </w:p>
        </w:tc>
        <w:tc>
          <w:tcPr>
            <w:tcW w:w="1670"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叠加精度</w:t>
            </w:r>
          </w:p>
        </w:tc>
        <w:tc>
          <w:tcPr>
            <w:tcW w:w="751"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mrad</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≤1</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27</w:t>
            </w:r>
          </w:p>
        </w:tc>
        <w:tc>
          <w:tcPr>
            <w:tcW w:w="1670"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紫外成像角分辨率</w:t>
            </w:r>
          </w:p>
        </w:tc>
        <w:tc>
          <w:tcPr>
            <w:tcW w:w="751"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mrad</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≤5</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28</w:t>
            </w:r>
          </w:p>
        </w:tc>
        <w:tc>
          <w:tcPr>
            <w:tcW w:w="1670"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紫外光颜色</w:t>
            </w:r>
          </w:p>
        </w:tc>
        <w:tc>
          <w:tcPr>
            <w:tcW w:w="751" w:type="dxa"/>
            <w:vAlign w:val="center"/>
          </w:tcPr>
          <w:p>
            <w:pPr>
              <w:jc w:val="center"/>
              <w:rPr>
                <w:rFonts w:hint="default"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白、红、绿、黄、紫</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29</w:t>
            </w:r>
          </w:p>
        </w:tc>
        <w:tc>
          <w:tcPr>
            <w:tcW w:w="1670"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红外图像增强</w:t>
            </w:r>
          </w:p>
        </w:tc>
        <w:tc>
          <w:tcPr>
            <w:tcW w:w="751" w:type="dxa"/>
            <w:vAlign w:val="center"/>
          </w:tcPr>
          <w:p>
            <w:pPr>
              <w:jc w:val="center"/>
              <w:rPr>
                <w:rFonts w:hint="default"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IVE图像增强算法</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30</w:t>
            </w:r>
          </w:p>
        </w:tc>
        <w:tc>
          <w:tcPr>
            <w:tcW w:w="1670"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红外调色板</w:t>
            </w:r>
          </w:p>
        </w:tc>
        <w:tc>
          <w:tcPr>
            <w:tcW w:w="751" w:type="dxa"/>
            <w:vAlign w:val="center"/>
          </w:tcPr>
          <w:p>
            <w:pPr>
              <w:jc w:val="center"/>
              <w:rPr>
                <w:rFonts w:hint="default"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10种可选(包括铁红、彩虹、黑热和白热等)</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31</w:t>
            </w:r>
          </w:p>
        </w:tc>
        <w:tc>
          <w:tcPr>
            <w:tcW w:w="1670"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图像分辨率</w:t>
            </w:r>
          </w:p>
        </w:tc>
        <w:tc>
          <w:tcPr>
            <w:tcW w:w="751" w:type="dxa"/>
            <w:vAlign w:val="center"/>
          </w:tcPr>
          <w:p>
            <w:pPr>
              <w:jc w:val="center"/>
              <w:rPr>
                <w:rFonts w:hint="default"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960×720</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32</w:t>
            </w:r>
          </w:p>
        </w:tc>
        <w:tc>
          <w:tcPr>
            <w:tcW w:w="1670"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数据导出</w:t>
            </w:r>
          </w:p>
        </w:tc>
        <w:tc>
          <w:tcPr>
            <w:tcW w:w="751" w:type="dxa"/>
            <w:vAlign w:val="center"/>
          </w:tcPr>
          <w:p>
            <w:pPr>
              <w:jc w:val="center"/>
              <w:rPr>
                <w:rFonts w:hint="default"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USB（外置）</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33</w:t>
            </w:r>
          </w:p>
        </w:tc>
        <w:tc>
          <w:tcPr>
            <w:tcW w:w="1670"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通讯接口</w:t>
            </w:r>
          </w:p>
        </w:tc>
        <w:tc>
          <w:tcPr>
            <w:tcW w:w="751" w:type="dxa"/>
            <w:vAlign w:val="center"/>
          </w:tcPr>
          <w:p>
            <w:pPr>
              <w:jc w:val="center"/>
              <w:rPr>
                <w:rFonts w:hint="default" w:ascii="宋体" w:hAnsi="宋体" w:cs="宋体"/>
                <w:i w:val="0"/>
                <w:iCs w:val="0"/>
                <w:color w:val="auto"/>
                <w:kern w:val="2"/>
                <w:sz w:val="21"/>
                <w:szCs w:val="21"/>
                <w:u w:val="none"/>
                <w:lang w:val="en-US" w:eastAsia="zh-CN" w:bidi="ar"/>
              </w:rPr>
            </w:pPr>
            <w:r>
              <w:rPr>
                <w:rFonts w:hint="eastAsia" w:ascii="宋体" w:hAnsi="宋体" w:cs="宋体"/>
                <w:i w:val="0"/>
                <w:iCs w:val="0"/>
                <w:color w:val="auto"/>
                <w:kern w:val="2"/>
                <w:sz w:val="21"/>
                <w:szCs w:val="21"/>
                <w:u w:val="none"/>
                <w:lang w:val="en-US" w:eastAsia="zh-CN" w:bidi="ar"/>
              </w:rPr>
              <w:t>-</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DJI SkyPort V2</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default" w:ascii="宋体" w:hAnsi="宋体" w:cs="宋体"/>
                <w:kern w:val="0"/>
                <w:sz w:val="21"/>
                <w:szCs w:val="21"/>
                <w:lang w:val="en-US" w:eastAsia="zh-CN" w:bidi="ar"/>
              </w:rPr>
            </w:pPr>
            <w:r>
              <w:rPr>
                <w:rFonts w:hint="eastAsia" w:ascii="宋体" w:hAnsi="宋体" w:cs="宋体"/>
                <w:kern w:val="0"/>
                <w:sz w:val="21"/>
                <w:szCs w:val="21"/>
                <w:lang w:val="en-US" w:eastAsia="zh-CN" w:bidi="ar"/>
              </w:rPr>
              <w:t>34</w:t>
            </w:r>
          </w:p>
        </w:tc>
        <w:tc>
          <w:tcPr>
            <w:tcW w:w="1670"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电源输入</w:t>
            </w:r>
          </w:p>
        </w:tc>
        <w:tc>
          <w:tcPr>
            <w:tcW w:w="751" w:type="dxa"/>
            <w:vAlign w:val="center"/>
          </w:tcPr>
          <w:p>
            <w:pPr>
              <w:jc w:val="center"/>
              <w:rPr>
                <w:rFonts w:hint="eastAsia" w:ascii="宋体" w:hAnsi="宋体" w:cs="宋体"/>
                <w:i w:val="0"/>
                <w:iCs w:val="0"/>
                <w:color w:val="auto"/>
                <w:kern w:val="2"/>
                <w:sz w:val="21"/>
                <w:szCs w:val="21"/>
                <w:u w:val="none"/>
                <w:lang w:val="en-US" w:eastAsia="zh-CN" w:bidi="ar"/>
              </w:rPr>
            </w:pPr>
            <w:r>
              <w:rPr>
                <w:rFonts w:hint="eastAsia" w:asciiTheme="minorEastAsia" w:hAnsiTheme="minorEastAsia" w:eastAsiaTheme="minorEastAsia"/>
                <w:szCs w:val="24"/>
              </w:rPr>
              <w:t>V</w:t>
            </w:r>
          </w:p>
        </w:tc>
        <w:tc>
          <w:tcPr>
            <w:tcW w:w="3146"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Theme="minorEastAsia" w:hAnsiTheme="minorEastAsia" w:eastAsiaTheme="minorEastAsia"/>
                <w:szCs w:val="24"/>
              </w:rPr>
              <w:t>DC: 13.6V（DJI X-Port）</w:t>
            </w:r>
          </w:p>
        </w:tc>
        <w:tc>
          <w:tcPr>
            <w:tcW w:w="1055"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p>
        </w:tc>
        <w:tc>
          <w:tcPr>
            <w:tcW w:w="1648"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bl>
    <w:p>
      <w:pPr>
        <w:pStyle w:val="2"/>
        <w:rPr>
          <w:rFonts w:hint="eastAsia" w:ascii="宋体" w:hAnsi="宋体" w:eastAsia="宋体" w:cs="宋体"/>
          <w:sz w:val="21"/>
        </w:rPr>
      </w:pPr>
      <w:bookmarkStart w:id="13" w:name="_Toc15579"/>
      <w:r>
        <w:rPr>
          <w:rFonts w:hint="eastAsia" w:ascii="宋体" w:hAnsi="宋体" w:eastAsia="宋体" w:cs="宋体"/>
          <w:sz w:val="21"/>
        </w:rPr>
        <w:t>4包装和运输</w:t>
      </w:r>
      <w:bookmarkEnd w:id="12"/>
      <w:bookmarkEnd w:id="13"/>
    </w:p>
    <w:p>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投标方必须按以下要求对设备进行包装运输，凡招标方的要求与下述不同时，按招标方的要求进行。</w:t>
      </w:r>
    </w:p>
    <w:p>
      <w:pPr>
        <w:spacing w:line="360" w:lineRule="auto"/>
        <w:ind w:left="420" w:hanging="420" w:hangingChars="200"/>
        <w:rPr>
          <w:rFonts w:hint="eastAsia" w:ascii="宋体" w:hAnsi="宋体" w:eastAsia="宋体" w:cs="宋体"/>
          <w:szCs w:val="24"/>
        </w:rPr>
      </w:pPr>
      <w:r>
        <w:rPr>
          <w:rFonts w:hint="eastAsia" w:ascii="宋体" w:hAnsi="宋体" w:eastAsia="宋体" w:cs="宋体"/>
          <w:szCs w:val="24"/>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4.2 投标方对每一件非自身生产而外购的配套设备均严格执行原设备制造商推荐的运输建议，以确保设备在运输时完好如初。</w:t>
      </w:r>
    </w:p>
    <w:p>
      <w:pPr>
        <w:spacing w:line="360" w:lineRule="auto"/>
        <w:jc w:val="left"/>
        <w:rPr>
          <w:rFonts w:hint="eastAsia" w:ascii="宋体" w:hAnsi="宋体" w:eastAsia="宋体" w:cs="宋体"/>
          <w:szCs w:val="24"/>
        </w:rPr>
      </w:pPr>
      <w:r>
        <w:rPr>
          <w:rFonts w:hint="eastAsia" w:ascii="宋体" w:hAnsi="宋体" w:eastAsia="宋体" w:cs="宋体"/>
          <w:szCs w:val="24"/>
        </w:rPr>
        <w:t>4.3 投标方将包装所有供货设备，以使设备免遭污染，机械损伤和性能下降。</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4.4 所有设备分别包装、装箱、或采取其他防护措施，以避免设备在运输过程中散失、损坏或被盗。</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hint="eastAsia" w:ascii="宋体" w:hAnsi="宋体" w:eastAsia="宋体" w:cs="宋体"/>
          <w:szCs w:val="24"/>
        </w:rPr>
      </w:pPr>
      <w:r>
        <w:rPr>
          <w:rFonts w:hint="eastAsia" w:ascii="宋体" w:hAnsi="宋体" w:eastAsia="宋体" w:cs="宋体"/>
          <w:szCs w:val="24"/>
        </w:rPr>
        <w:t>4.6 从投标方到用户方指定的目的地的运输由投标方负责。</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2"/>
        <w:rPr>
          <w:rFonts w:hint="eastAsia" w:ascii="宋体" w:hAnsi="宋体" w:eastAsia="宋体" w:cs="宋体"/>
          <w:sz w:val="21"/>
        </w:rPr>
      </w:pPr>
      <w:bookmarkStart w:id="14" w:name="_Toc4269"/>
      <w:bookmarkStart w:id="15" w:name="_Toc12510"/>
      <w:bookmarkStart w:id="16" w:name="_Toc27503"/>
      <w:r>
        <w:rPr>
          <w:rFonts w:hint="eastAsia" w:ascii="宋体" w:hAnsi="宋体" w:eastAsia="宋体" w:cs="宋体"/>
          <w:sz w:val="21"/>
        </w:rPr>
        <w:t>5技术服务</w:t>
      </w:r>
      <w:bookmarkEnd w:id="14"/>
      <w:bookmarkEnd w:id="15"/>
      <w:bookmarkEnd w:id="16"/>
    </w:p>
    <w:p>
      <w:pPr>
        <w:spacing w:line="360" w:lineRule="auto"/>
        <w:outlineLvl w:val="0"/>
        <w:rPr>
          <w:rFonts w:hint="eastAsia" w:ascii="宋体" w:hAnsi="宋体" w:eastAsia="宋体" w:cs="宋体"/>
          <w:szCs w:val="24"/>
        </w:rPr>
      </w:pPr>
      <w:bookmarkStart w:id="17" w:name="_Toc21220"/>
      <w:r>
        <w:rPr>
          <w:rFonts w:hint="eastAsia" w:ascii="宋体" w:hAnsi="宋体" w:eastAsia="宋体" w:cs="宋体"/>
          <w:sz w:val="24"/>
          <w:szCs w:val="24"/>
        </w:rPr>
        <w:t xml:space="preserve">5.1 </w:t>
      </w:r>
      <w:r>
        <w:rPr>
          <w:rFonts w:hint="eastAsia" w:ascii="宋体" w:hAnsi="宋体" w:eastAsia="宋体" w:cs="宋体"/>
          <w:szCs w:val="24"/>
        </w:rPr>
        <w:t>技术培训</w:t>
      </w:r>
      <w:bookmarkEnd w:id="17"/>
    </w:p>
    <w:p>
      <w:pPr>
        <w:spacing w:line="360" w:lineRule="auto"/>
        <w:rPr>
          <w:rFonts w:hint="eastAsia" w:ascii="宋体" w:hAnsi="宋体" w:eastAsia="宋体" w:cs="宋体"/>
          <w:szCs w:val="24"/>
        </w:rPr>
      </w:pPr>
      <w:r>
        <w:rPr>
          <w:rFonts w:hint="eastAsia" w:ascii="宋体" w:hAnsi="宋体" w:eastAsia="宋体" w:cs="宋体"/>
          <w:szCs w:val="24"/>
        </w:rPr>
        <w:t>5.1.1 投标方应对用户提供技术培训和操作指导，投标方负责培训全部费用；</w:t>
      </w:r>
    </w:p>
    <w:p>
      <w:pPr>
        <w:spacing w:line="360" w:lineRule="auto"/>
        <w:rPr>
          <w:rFonts w:hint="eastAsia" w:ascii="宋体" w:hAnsi="宋体" w:eastAsia="宋体" w:cs="宋体"/>
          <w:szCs w:val="24"/>
        </w:rPr>
      </w:pPr>
      <w:r>
        <w:rPr>
          <w:rFonts w:hint="eastAsia" w:ascii="宋体" w:hAnsi="宋体" w:eastAsia="宋体" w:cs="宋体"/>
          <w:szCs w:val="24"/>
        </w:rPr>
        <w:t>5.1.2 投标方提供现场培训；</w:t>
      </w:r>
    </w:p>
    <w:p>
      <w:pPr>
        <w:spacing w:line="360" w:lineRule="auto"/>
        <w:rPr>
          <w:rFonts w:hint="eastAsia" w:ascii="宋体" w:hAnsi="宋体" w:eastAsia="宋体" w:cs="宋体"/>
          <w:szCs w:val="24"/>
        </w:rPr>
      </w:pPr>
      <w:r>
        <w:rPr>
          <w:rFonts w:hint="eastAsia" w:ascii="宋体" w:hAnsi="宋体" w:eastAsia="宋体" w:cs="宋体"/>
          <w:szCs w:val="24"/>
        </w:rPr>
        <w:t>5.1.3 投标方提供培训教师、培训安排、培训教材；</w:t>
      </w:r>
    </w:p>
    <w:p>
      <w:pPr>
        <w:spacing w:line="360" w:lineRule="auto"/>
        <w:rPr>
          <w:rFonts w:hint="eastAsia" w:ascii="宋体" w:hAnsi="宋体" w:eastAsia="宋体" w:cs="宋体"/>
          <w:szCs w:val="24"/>
        </w:rPr>
      </w:pPr>
      <w:r>
        <w:rPr>
          <w:rFonts w:hint="eastAsia" w:ascii="宋体" w:hAnsi="宋体" w:eastAsia="宋体" w:cs="宋体"/>
          <w:szCs w:val="24"/>
        </w:rPr>
        <w:t>5.1.4 投标方应设计专门的培训课程，重点包括</w:t>
      </w:r>
      <w:r>
        <w:rPr>
          <w:rFonts w:hint="eastAsia" w:ascii="宋体" w:hAnsi="宋体" w:eastAsia="宋体" w:cs="宋体"/>
          <w:szCs w:val="24"/>
          <w:lang w:val="en-US" w:eastAsia="zh-CN"/>
        </w:rPr>
        <w:t>设备</w:t>
      </w:r>
      <w:r>
        <w:rPr>
          <w:rFonts w:hint="eastAsia" w:ascii="宋体" w:hAnsi="宋体" w:eastAsia="宋体" w:cs="宋体"/>
          <w:szCs w:val="24"/>
        </w:rPr>
        <w:t>的整体使用方法，常见故障排查处理等。培训内容包括以上但不限于此。</w:t>
      </w:r>
    </w:p>
    <w:p>
      <w:pPr>
        <w:spacing w:line="360" w:lineRule="auto"/>
        <w:rPr>
          <w:rFonts w:hint="eastAsia" w:ascii="宋体" w:hAnsi="宋体" w:eastAsia="宋体" w:cs="宋体"/>
          <w:szCs w:val="24"/>
        </w:rPr>
      </w:pPr>
      <w:r>
        <w:rPr>
          <w:rFonts w:hint="eastAsia" w:ascii="宋体" w:hAnsi="宋体" w:eastAsia="宋体" w:cs="宋体"/>
          <w:szCs w:val="24"/>
        </w:rPr>
        <w:t>5.1.5 培训时间不少2天。其中，交货后在南方电网公司下属相应的分子公司进行为期2天时间的培训。</w:t>
      </w:r>
    </w:p>
    <w:p>
      <w:pPr>
        <w:spacing w:line="360" w:lineRule="auto"/>
        <w:rPr>
          <w:rFonts w:hint="eastAsia" w:ascii="宋体" w:hAnsi="宋体" w:eastAsia="宋体" w:cs="宋体"/>
          <w:szCs w:val="24"/>
        </w:rPr>
      </w:pPr>
      <w:r>
        <w:rPr>
          <w:rFonts w:hint="eastAsia" w:ascii="宋体" w:hAnsi="宋体" w:eastAsia="宋体" w:cs="宋体"/>
          <w:szCs w:val="24"/>
        </w:rPr>
        <w:t>5.1.6培训人员每次不少</w:t>
      </w:r>
      <w:r>
        <w:rPr>
          <w:rFonts w:hint="eastAsia" w:ascii="宋体" w:hAnsi="宋体" w:eastAsia="宋体" w:cs="宋体"/>
          <w:szCs w:val="24"/>
          <w:lang w:val="en-US" w:eastAsia="zh-CN"/>
        </w:rPr>
        <w:t>2</w:t>
      </w:r>
      <w:r>
        <w:rPr>
          <w:rFonts w:hint="eastAsia" w:ascii="宋体" w:hAnsi="宋体" w:eastAsia="宋体" w:cs="宋体"/>
          <w:szCs w:val="24"/>
        </w:rPr>
        <w:t>人。</w:t>
      </w:r>
    </w:p>
    <w:p>
      <w:pPr>
        <w:spacing w:line="360" w:lineRule="auto"/>
        <w:outlineLvl w:val="0"/>
        <w:rPr>
          <w:rFonts w:hint="eastAsia" w:ascii="宋体" w:hAnsi="宋体" w:eastAsia="宋体" w:cs="宋体"/>
          <w:szCs w:val="24"/>
        </w:rPr>
      </w:pPr>
      <w:bookmarkStart w:id="18" w:name="_Toc20204"/>
      <w:bookmarkStart w:id="19" w:name="_Toc60566153"/>
      <w:r>
        <w:rPr>
          <w:rFonts w:hint="eastAsia" w:ascii="宋体" w:hAnsi="宋体" w:eastAsia="宋体" w:cs="宋体"/>
          <w:szCs w:val="24"/>
        </w:rPr>
        <w:t>5.2 现场技术服务</w:t>
      </w:r>
      <w:bookmarkEnd w:id="18"/>
    </w:p>
    <w:p>
      <w:pPr>
        <w:spacing w:line="360" w:lineRule="auto"/>
        <w:rPr>
          <w:rFonts w:hint="eastAsia" w:ascii="宋体" w:hAnsi="宋体" w:eastAsia="宋体" w:cs="宋体"/>
          <w:szCs w:val="24"/>
        </w:rPr>
      </w:pPr>
      <w:r>
        <w:rPr>
          <w:rFonts w:hint="eastAsia" w:ascii="宋体" w:hAnsi="宋体" w:eastAsia="宋体" w:cs="宋体"/>
          <w:szCs w:val="24"/>
        </w:rPr>
        <w:t>5.2.1投标方派出的工程师，在设备的安装接线、调试和测试期间，应负责指导。</w:t>
      </w:r>
    </w:p>
    <w:p>
      <w:pPr>
        <w:spacing w:line="360" w:lineRule="auto"/>
        <w:rPr>
          <w:rFonts w:hint="eastAsia" w:ascii="宋体" w:hAnsi="宋体" w:eastAsia="宋体" w:cs="宋体"/>
          <w:szCs w:val="24"/>
        </w:rPr>
      </w:pPr>
      <w:r>
        <w:rPr>
          <w:rFonts w:hint="eastAsia" w:ascii="宋体" w:hAnsi="宋体" w:eastAsia="宋体" w:cs="宋体"/>
          <w:szCs w:val="24"/>
        </w:rPr>
        <w:t>5.2.2 投标方派出的工程师，还应负责对买方的安装及维护人员进行现场培训，培训内容包括但不限于如何启动、操作及维护设备。</w:t>
      </w:r>
    </w:p>
    <w:p>
      <w:pPr>
        <w:spacing w:line="360" w:lineRule="auto"/>
        <w:outlineLvl w:val="0"/>
        <w:rPr>
          <w:rFonts w:hint="eastAsia" w:ascii="宋体" w:hAnsi="宋体" w:eastAsia="宋体" w:cs="宋体"/>
          <w:szCs w:val="24"/>
        </w:rPr>
      </w:pPr>
      <w:bookmarkStart w:id="20" w:name="_Toc24505"/>
      <w:r>
        <w:rPr>
          <w:rFonts w:hint="eastAsia" w:ascii="宋体" w:hAnsi="宋体" w:eastAsia="宋体" w:cs="宋体"/>
          <w:szCs w:val="24"/>
        </w:rPr>
        <w:t>5.3远程技术支持</w:t>
      </w:r>
      <w:bookmarkEnd w:id="20"/>
    </w:p>
    <w:p>
      <w:pPr>
        <w:spacing w:line="360" w:lineRule="auto"/>
        <w:rPr>
          <w:rFonts w:hint="eastAsia" w:ascii="宋体" w:hAnsi="宋体" w:eastAsia="宋体" w:cs="宋体"/>
          <w:szCs w:val="24"/>
        </w:rPr>
      </w:pPr>
      <w:r>
        <w:rPr>
          <w:rFonts w:hint="eastAsia" w:ascii="宋体" w:hAnsi="宋体" w:eastAsia="宋体" w:cs="宋体"/>
          <w:szCs w:val="24"/>
        </w:rPr>
        <w:t>5.3.1招标方免费提供远程技术服务，远程技术服务项目期限不受限于保修期，远程技术服务在设备报废前有效。</w:t>
      </w:r>
    </w:p>
    <w:p>
      <w:pPr>
        <w:spacing w:line="360" w:lineRule="auto"/>
        <w:rPr>
          <w:rFonts w:hint="eastAsia" w:ascii="宋体" w:hAnsi="宋体" w:eastAsia="宋体" w:cs="宋体"/>
          <w:szCs w:val="24"/>
        </w:rPr>
      </w:pPr>
      <w:r>
        <w:rPr>
          <w:rFonts w:hint="eastAsia" w:ascii="宋体" w:hAnsi="宋体" w:eastAsia="宋体" w:cs="宋体"/>
          <w:szCs w:val="24"/>
        </w:rPr>
        <w:t>5.3.2 招标方通过网络直播等方式每年组织</w:t>
      </w:r>
      <w:r>
        <w:rPr>
          <w:rFonts w:hint="eastAsia" w:ascii="宋体" w:hAnsi="宋体" w:eastAsia="宋体" w:cs="宋体"/>
          <w:szCs w:val="24"/>
          <w:lang w:val="en-US" w:eastAsia="zh-CN"/>
        </w:rPr>
        <w:t>1</w:t>
      </w:r>
      <w:r>
        <w:rPr>
          <w:rFonts w:hint="eastAsia" w:ascii="宋体" w:hAnsi="宋体" w:eastAsia="宋体" w:cs="宋体"/>
          <w:szCs w:val="24"/>
        </w:rPr>
        <w:t>次</w:t>
      </w:r>
      <w:r>
        <w:rPr>
          <w:rFonts w:hint="eastAsia" w:ascii="宋体" w:hAnsi="宋体" w:eastAsia="宋体" w:cs="宋体"/>
          <w:szCs w:val="24"/>
          <w:lang w:val="en-US" w:eastAsia="zh-CN"/>
        </w:rPr>
        <w:t>设备</w:t>
      </w:r>
      <w:r>
        <w:rPr>
          <w:rFonts w:hint="eastAsia" w:ascii="宋体" w:hAnsi="宋体" w:eastAsia="宋体" w:cs="宋体"/>
          <w:szCs w:val="24"/>
        </w:rPr>
        <w:t>使用及日常维护培训课程。</w:t>
      </w:r>
    </w:p>
    <w:bookmarkEnd w:id="19"/>
    <w:p>
      <w:pPr>
        <w:pStyle w:val="2"/>
        <w:rPr>
          <w:rFonts w:hint="eastAsia" w:ascii="宋体" w:hAnsi="宋体" w:eastAsia="宋体" w:cs="宋体"/>
          <w:sz w:val="21"/>
        </w:rPr>
      </w:pPr>
      <w:bookmarkStart w:id="21" w:name="_Toc9841"/>
      <w:bookmarkStart w:id="22" w:name="_Toc300066390"/>
      <w:bookmarkStart w:id="23" w:name="_Toc293403381"/>
      <w:bookmarkStart w:id="24" w:name="_Toc10527"/>
      <w:bookmarkStart w:id="25" w:name="_Toc30677"/>
      <w:r>
        <w:rPr>
          <w:rFonts w:hint="eastAsia" w:ascii="宋体" w:hAnsi="宋体" w:eastAsia="宋体" w:cs="宋体"/>
          <w:sz w:val="21"/>
        </w:rPr>
        <w:t>6质量保证和试验</w:t>
      </w:r>
      <w:bookmarkEnd w:id="21"/>
      <w:bookmarkEnd w:id="22"/>
      <w:bookmarkEnd w:id="23"/>
      <w:bookmarkEnd w:id="24"/>
      <w:bookmarkEnd w:id="25"/>
    </w:p>
    <w:p>
      <w:pPr>
        <w:spacing w:line="360" w:lineRule="auto"/>
        <w:rPr>
          <w:rFonts w:hint="eastAsia" w:ascii="宋体" w:hAnsi="宋体" w:eastAsia="宋体" w:cs="宋体"/>
          <w:szCs w:val="24"/>
        </w:rPr>
      </w:pPr>
      <w:r>
        <w:rPr>
          <w:rFonts w:hint="eastAsia" w:ascii="宋体" w:hAnsi="宋体" w:eastAsia="宋体" w:cs="宋体"/>
          <w:szCs w:val="24"/>
        </w:rPr>
        <w:t>6.1 投标方应确保其</w:t>
      </w:r>
      <w:r>
        <w:rPr>
          <w:rFonts w:hint="eastAsia" w:ascii="宋体" w:hAnsi="宋体" w:eastAsia="宋体" w:cs="宋体"/>
          <w:szCs w:val="21"/>
          <w:lang w:val="en-US" w:eastAsia="zh-CN"/>
        </w:rPr>
        <w:t>设备</w:t>
      </w:r>
      <w:r>
        <w:rPr>
          <w:rFonts w:hint="eastAsia" w:ascii="宋体" w:hAnsi="宋体" w:eastAsia="宋体" w:cs="宋体"/>
          <w:szCs w:val="24"/>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eastAsia="宋体" w:cs="宋体"/>
          <w:szCs w:val="24"/>
        </w:rPr>
      </w:pPr>
      <w:r>
        <w:rPr>
          <w:rFonts w:hint="eastAsia" w:ascii="宋体" w:hAnsi="宋体" w:eastAsia="宋体" w:cs="宋体"/>
          <w:szCs w:val="24"/>
        </w:rPr>
        <w:t>6.2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eastAsia="宋体" w:cs="宋体"/>
          <w:szCs w:val="24"/>
        </w:rPr>
      </w:pPr>
      <w:r>
        <w:rPr>
          <w:rFonts w:hint="eastAsia" w:ascii="宋体" w:hAnsi="宋体" w:eastAsia="宋体" w:cs="宋体"/>
          <w:szCs w:val="24"/>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pStyle w:val="2"/>
        <w:rPr>
          <w:rFonts w:hint="eastAsia" w:ascii="宋体" w:hAnsi="宋体" w:eastAsia="宋体" w:cs="宋体"/>
          <w:sz w:val="21"/>
        </w:rPr>
      </w:pPr>
      <w:bookmarkStart w:id="26" w:name="_Toc1129"/>
      <w:bookmarkStart w:id="27" w:name="_Toc23887"/>
      <w:bookmarkStart w:id="28" w:name="_Toc20219"/>
      <w:r>
        <w:rPr>
          <w:rFonts w:hint="eastAsia" w:ascii="宋体" w:hAnsi="宋体" w:eastAsia="宋体" w:cs="宋体"/>
          <w:sz w:val="21"/>
        </w:rPr>
        <w:t>7设备验收</w:t>
      </w:r>
      <w:bookmarkEnd w:id="26"/>
      <w:bookmarkEnd w:id="27"/>
      <w:bookmarkEnd w:id="28"/>
    </w:p>
    <w:p>
      <w:pPr>
        <w:spacing w:line="360" w:lineRule="auto"/>
        <w:jc w:val="left"/>
        <w:rPr>
          <w:rFonts w:hint="eastAsia" w:ascii="宋体" w:hAnsi="宋体" w:eastAsia="宋体" w:cs="宋体"/>
          <w:szCs w:val="24"/>
        </w:rPr>
      </w:pPr>
      <w:r>
        <w:rPr>
          <w:rFonts w:hint="eastAsia" w:ascii="宋体" w:hAnsi="宋体" w:eastAsia="宋体" w:cs="宋体"/>
          <w:szCs w:val="24"/>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eastAsia="宋体" w:cs="宋体"/>
          <w:szCs w:val="24"/>
        </w:rPr>
      </w:pPr>
      <w:r>
        <w:rPr>
          <w:rFonts w:hint="eastAsia" w:ascii="宋体" w:hAnsi="宋体" w:eastAsia="宋体" w:cs="宋体"/>
          <w:szCs w:val="24"/>
        </w:rPr>
        <w:t>7.1.1 满足本文件的项目目标和相应的技术要求、业务要求的完整的可最终良好运行的设备和附件；</w:t>
      </w:r>
    </w:p>
    <w:p>
      <w:pPr>
        <w:spacing w:line="360" w:lineRule="auto"/>
        <w:ind w:left="630" w:hanging="630" w:hangingChars="300"/>
        <w:jc w:val="left"/>
        <w:rPr>
          <w:rFonts w:hint="eastAsia" w:ascii="宋体" w:hAnsi="宋体" w:eastAsia="宋体" w:cs="宋体"/>
          <w:szCs w:val="24"/>
        </w:rPr>
      </w:pPr>
      <w:r>
        <w:rPr>
          <w:rFonts w:hint="eastAsia" w:ascii="宋体" w:hAnsi="宋体" w:eastAsia="宋体" w:cs="宋体"/>
          <w:szCs w:val="24"/>
        </w:rPr>
        <w:t>7.1.2 应包括但不限于满足确保设备正常运行所需的操作及维护有关的全套技术文件。</w:t>
      </w:r>
    </w:p>
    <w:p>
      <w:pPr>
        <w:spacing w:line="360" w:lineRule="auto"/>
        <w:jc w:val="left"/>
        <w:rPr>
          <w:rFonts w:hint="eastAsia" w:ascii="宋体" w:hAnsi="宋体" w:eastAsia="宋体" w:cs="宋体"/>
          <w:szCs w:val="24"/>
        </w:rPr>
      </w:pPr>
      <w:r>
        <w:rPr>
          <w:rFonts w:hint="eastAsia" w:ascii="宋体" w:hAnsi="宋体" w:eastAsia="宋体" w:cs="宋体"/>
          <w:szCs w:val="24"/>
        </w:rPr>
        <w:t>7.2 验收时若发现设备或附件存在由中标方造成的缺陷或不符合本技术条件要求时，中标方应无条件更换设备或附件。</w:t>
      </w:r>
    </w:p>
    <w:p>
      <w:pPr>
        <w:pStyle w:val="2"/>
        <w:rPr>
          <w:rFonts w:hint="eastAsia" w:ascii="宋体" w:hAnsi="宋体" w:eastAsia="宋体" w:cs="宋体"/>
          <w:sz w:val="21"/>
          <w:lang w:val="en-US" w:eastAsia="zh-CN"/>
        </w:rPr>
      </w:pPr>
      <w:bookmarkStart w:id="29" w:name="_Toc675"/>
      <w:bookmarkStart w:id="30" w:name="_Toc15582"/>
      <w:bookmarkStart w:id="31" w:name="_Toc24795"/>
      <w:r>
        <w:rPr>
          <w:rFonts w:hint="eastAsia" w:ascii="宋体" w:hAnsi="宋体" w:eastAsia="宋体" w:cs="宋体"/>
          <w:sz w:val="21"/>
          <w:lang w:val="en-US" w:eastAsia="zh-CN"/>
        </w:rPr>
        <w:t>附录</w:t>
      </w:r>
      <w:bookmarkEnd w:id="29"/>
      <w:bookmarkEnd w:id="30"/>
    </w:p>
    <w:p>
      <w:pPr>
        <w:pStyle w:val="2"/>
        <w:rPr>
          <w:rFonts w:hint="eastAsia" w:ascii="宋体" w:hAnsi="宋体" w:eastAsia="宋体" w:cs="宋体"/>
          <w:sz w:val="21"/>
        </w:rPr>
      </w:pPr>
      <w:bookmarkStart w:id="32" w:name="_Toc8223"/>
      <w:bookmarkStart w:id="33" w:name="_Toc29701"/>
      <w:r>
        <w:rPr>
          <w:rFonts w:hint="eastAsia" w:ascii="宋体" w:hAnsi="宋体" w:eastAsia="宋体" w:cs="宋体"/>
          <w:sz w:val="21"/>
          <w:lang w:val="en-US" w:eastAsia="zh-CN"/>
        </w:rPr>
        <w:t>附录1</w:t>
      </w:r>
      <w:r>
        <w:rPr>
          <w:rFonts w:hint="eastAsia" w:ascii="宋体" w:hAnsi="宋体" w:eastAsia="宋体" w:cs="宋体"/>
          <w:sz w:val="21"/>
        </w:rPr>
        <w:t>供货范围</w:t>
      </w:r>
      <w:bookmarkEnd w:id="31"/>
      <w:bookmarkEnd w:id="32"/>
      <w:bookmarkEnd w:id="33"/>
    </w:p>
    <w:p>
      <w:pPr>
        <w:pStyle w:val="15"/>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rPr>
        <w:t>投标方提供的设备具体规格、数量见</w:t>
      </w:r>
      <w:r>
        <w:rPr>
          <w:rFonts w:hint="eastAsia" w:ascii="宋体" w:hAnsi="宋体" w:eastAsia="宋体" w:cs="宋体"/>
          <w:b w:val="0"/>
          <w:bCs w:val="0"/>
          <w:szCs w:val="21"/>
          <w:lang w:val="en-US" w:eastAsia="zh-CN"/>
        </w:rPr>
        <w:t>附表</w:t>
      </w:r>
      <w:r>
        <w:rPr>
          <w:rFonts w:hint="eastAsia" w:ascii="宋体" w:hAnsi="宋体" w:eastAsia="宋体" w:cs="宋体"/>
          <w:b w:val="0"/>
          <w:bCs w:val="0"/>
          <w:szCs w:val="21"/>
        </w:rPr>
        <w:t>1:供货范围及设备技术规格一览表。投标方应如实填写“投标方保证”栏。设备应包含出厂所配置的所有部件。</w:t>
      </w:r>
      <w:r>
        <w:rPr>
          <w:rFonts w:hint="eastAsia" w:ascii="宋体" w:hAnsi="宋体" w:eastAsia="宋体" w:cs="宋体"/>
          <w:b w:val="0"/>
          <w:bCs w:val="0"/>
          <w:szCs w:val="21"/>
          <w:lang w:val="en-US" w:eastAsia="zh-CN"/>
        </w:rPr>
        <w:t>若中标后产品因促销、优惠活动等情况导致产品降价或配置修改，投标人需同比例降价或以配置较高的方案供货。</w:t>
      </w:r>
    </w:p>
    <w:p>
      <w:pPr>
        <w:pStyle w:val="15"/>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15"/>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15"/>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应根据需求情况提前准备库存产品，以应对大批次需求和紧急需求订单，确保发货及时。应标产品库存量应不少于1套。在框架有效期前一个月应一直保持库存稳定。招标方定期组织人员进行抽查，确保库存满足要求。如不符合要求，则视损失、影响情况对投标方进行履约扣分处理。</w:t>
      </w:r>
    </w:p>
    <w:p>
      <w:pPr>
        <w:pStyle w:val="15"/>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如投标方为产品制造方，需承担起产品质量保障职责，并针对应标产品提供无条件的技术支持工作。如投标方为集成商，则需要原厂提供相关授权，对产品质量保障及无条件的技术支持工作。</w:t>
      </w:r>
    </w:p>
    <w:p>
      <w:pPr>
        <w:pStyle w:val="15"/>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★如招标方由于自身业务需求、战略调整或其他合理原因，需针对投标方供货范围进行调整，经协商一致后可终止投标方供货范围中所提供的任何一项或多项服务。</w:t>
      </w:r>
    </w:p>
    <w:p>
      <w:pPr>
        <w:pStyle w:val="15"/>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★供应商应确保产品到货验收后，免费提供维修及保养服务，与质保期时间一致。确保在质保期内，避免操作失误以外的产品故障影响作业。</w:t>
      </w:r>
      <w:bookmarkStart w:id="43" w:name="_GoBack"/>
      <w:bookmarkEnd w:id="43"/>
    </w:p>
    <w:p>
      <w:pPr>
        <w:pStyle w:val="17"/>
        <w:rPr>
          <w:rFonts w:hint="eastAsia" w:ascii="宋体" w:hAnsi="宋体" w:eastAsia="宋体" w:cs="宋体"/>
        </w:rPr>
      </w:pPr>
      <w:r>
        <w:rPr>
          <w:rFonts w:hint="eastAsia" w:ascii="宋体" w:hAnsi="宋体" w:eastAsia="宋体" w:cs="宋体"/>
          <w:lang w:val="en-US" w:eastAsia="zh-CN"/>
        </w:rPr>
        <w:t>附表1</w:t>
      </w:r>
      <w:r>
        <w:rPr>
          <w:rFonts w:hint="eastAsia" w:ascii="宋体" w:hAnsi="宋体" w:eastAsia="宋体" w:cs="宋体"/>
          <w:szCs w:val="21"/>
        </w:rPr>
        <w:t>供货范围及设备技术规格一览表</w:t>
      </w:r>
      <w:r>
        <w:rPr>
          <w:rFonts w:hint="eastAsia" w:ascii="宋体" w:hAnsi="宋体" w:eastAsia="宋体" w:cs="宋体"/>
        </w:rPr>
        <w:t>（投标方需填写）</w:t>
      </w:r>
    </w:p>
    <w:tbl>
      <w:tblPr>
        <w:tblStyle w:val="12"/>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298"/>
        <w:gridCol w:w="1334"/>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2298" w:type="dxa"/>
            <w:vMerge w:val="restart"/>
            <w:shd w:val="clear" w:color="auto" w:fill="auto"/>
            <w:vAlign w:val="center"/>
          </w:tcPr>
          <w:p>
            <w:pPr>
              <w:widowControl/>
              <w:jc w:val="center"/>
              <w:rPr>
                <w:rFonts w:hint="eastAsia" w:ascii="宋体" w:hAnsi="宋体" w:eastAsia="宋体" w:cs="宋体"/>
                <w:kern w:val="0"/>
                <w:sz w:val="18"/>
                <w:szCs w:val="18"/>
              </w:rPr>
            </w:pPr>
            <w:bookmarkStart w:id="34" w:name="RANGE!D4"/>
            <w:r>
              <w:rPr>
                <w:rFonts w:hint="eastAsia" w:ascii="宋体" w:hAnsi="宋体" w:eastAsia="宋体" w:cs="宋体"/>
                <w:kern w:val="0"/>
                <w:sz w:val="18"/>
                <w:szCs w:val="18"/>
              </w:rPr>
              <w:t>设备名称</w:t>
            </w:r>
            <w:bookmarkEnd w:id="34"/>
          </w:p>
        </w:tc>
        <w:tc>
          <w:tcPr>
            <w:tcW w:w="2812"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招标方要求</w:t>
            </w:r>
          </w:p>
        </w:tc>
        <w:tc>
          <w:tcPr>
            <w:tcW w:w="3064"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eastAsia="宋体" w:cs="宋体"/>
                <w:kern w:val="0"/>
                <w:sz w:val="18"/>
                <w:szCs w:val="18"/>
              </w:rPr>
            </w:pPr>
          </w:p>
        </w:tc>
        <w:tc>
          <w:tcPr>
            <w:tcW w:w="2298" w:type="dxa"/>
            <w:vMerge w:val="continue"/>
            <w:vAlign w:val="center"/>
          </w:tcPr>
          <w:p>
            <w:pPr>
              <w:widowControl/>
              <w:rPr>
                <w:rFonts w:hint="eastAsia" w:ascii="宋体" w:hAnsi="宋体" w:eastAsia="宋体" w:cs="宋体"/>
                <w:kern w:val="0"/>
                <w:sz w:val="18"/>
                <w:szCs w:val="18"/>
              </w:rPr>
            </w:pPr>
          </w:p>
        </w:tc>
        <w:tc>
          <w:tcPr>
            <w:tcW w:w="1334"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705"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773"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c>
          <w:tcPr>
            <w:tcW w:w="1822"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600"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642"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p>
        </w:tc>
        <w:tc>
          <w:tcPr>
            <w:tcW w:w="8174" w:type="dxa"/>
            <w:gridSpan w:val="7"/>
            <w:shd w:val="clear" w:color="auto" w:fill="auto"/>
            <w:vAlign w:val="center"/>
          </w:tcPr>
          <w:p>
            <w:pPr>
              <w:widowControl/>
              <w:rPr>
                <w:rFonts w:hint="default" w:ascii="宋体" w:hAnsi="宋体" w:eastAsia="宋体" w:cs="宋体"/>
                <w:kern w:val="0"/>
                <w:sz w:val="18"/>
                <w:szCs w:val="18"/>
                <w:lang w:val="en-US"/>
              </w:rPr>
            </w:pPr>
            <w:r>
              <w:rPr>
                <w:rFonts w:hint="eastAsia" w:ascii="宋体" w:hAnsi="宋体" w:cs="宋体"/>
                <w:i w:val="0"/>
                <w:iCs w:val="0"/>
                <w:color w:val="000000"/>
                <w:kern w:val="0"/>
                <w:sz w:val="18"/>
                <w:szCs w:val="18"/>
                <w:u w:val="none"/>
                <w:lang w:val="en-US" w:eastAsia="zh-CN" w:bidi="ar"/>
              </w:rPr>
              <w:t>无人机紫外云台挂载及其相关配件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default" w:ascii="宋体" w:hAnsi="宋体" w:eastAsia="宋体" w:cs="宋体"/>
                <w:color w:val="auto"/>
                <w:kern w:val="2"/>
                <w:sz w:val="18"/>
                <w:szCs w:val="18"/>
                <w:lang w:val="en-US" w:eastAsia="zh-CN" w:bidi="ar-SA"/>
              </w:rPr>
            </w:pPr>
            <w:r>
              <w:rPr>
                <w:rFonts w:hint="eastAsia" w:ascii="宋体" w:hAnsi="宋体" w:cs="宋体"/>
                <w:color w:val="auto"/>
                <w:kern w:val="2"/>
                <w:sz w:val="18"/>
                <w:szCs w:val="18"/>
                <w:lang w:val="en-US" w:eastAsia="zh-CN" w:bidi="ar-SA"/>
              </w:rPr>
              <w:t>1</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双光紫外成像云台相机</w:t>
            </w:r>
          </w:p>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及相关配件</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运输箱</w:t>
            </w:r>
          </w:p>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（适配双光型紫外成像云台相机）</w:t>
            </w:r>
          </w:p>
        </w:tc>
        <w:tc>
          <w:tcPr>
            <w:tcW w:w="1334" w:type="dxa"/>
            <w:shd w:val="clear" w:color="auto" w:fill="auto"/>
            <w:vAlign w:val="center"/>
          </w:tcPr>
          <w:p>
            <w:pP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多光紫外成像云台相机</w:t>
            </w:r>
          </w:p>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及相关配件</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运输箱</w:t>
            </w:r>
          </w:p>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（适配多光型紫外成像云台相机）</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个</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w:t>
            </w:r>
          </w:p>
        </w:tc>
        <w:tc>
          <w:tcPr>
            <w:tcW w:w="2298"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云台相机蓄电池</w:t>
            </w:r>
          </w:p>
        </w:tc>
        <w:tc>
          <w:tcPr>
            <w:tcW w:w="1334"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i w:val="0"/>
                <w:iCs w:val="0"/>
                <w:color w:val="000000"/>
                <w:kern w:val="0"/>
                <w:sz w:val="18"/>
                <w:szCs w:val="18"/>
                <w:u w:val="none"/>
                <w:lang w:val="en-US" w:eastAsia="zh-CN" w:bidi="ar"/>
              </w:rPr>
              <w:t>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注：</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1、投标人供货设备必须满足本技术条件的规定。</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2、投标人必须提供各设备间连接线和接口，并负责完成整机调试安装，到货后保证设备能正常测试。</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3、投标人报价必须包括本表所列所有设备。</w:t>
            </w:r>
          </w:p>
        </w:tc>
      </w:tr>
    </w:tbl>
    <w:p>
      <w:pPr>
        <w:pStyle w:val="2"/>
        <w:outlineLvl w:val="9"/>
        <w:rPr>
          <w:rFonts w:hint="eastAsia" w:ascii="宋体" w:hAnsi="宋体" w:eastAsia="宋体" w:cs="宋体"/>
          <w:sz w:val="21"/>
          <w:lang w:val="en-US" w:eastAsia="zh-CN"/>
        </w:rPr>
      </w:pPr>
      <w:bookmarkStart w:id="35" w:name="_Toc20752"/>
      <w:bookmarkStart w:id="36" w:name="_Toc1359"/>
    </w:p>
    <w:p>
      <w:pPr>
        <w:pStyle w:val="2"/>
        <w:rPr>
          <w:rFonts w:hint="eastAsia" w:ascii="宋体" w:hAnsi="宋体" w:eastAsia="宋体" w:cs="宋体"/>
          <w:sz w:val="21"/>
        </w:rPr>
      </w:pPr>
      <w:bookmarkStart w:id="37" w:name="_Toc5088"/>
      <w:r>
        <w:rPr>
          <w:rFonts w:hint="eastAsia" w:ascii="宋体" w:hAnsi="宋体" w:eastAsia="宋体" w:cs="宋体"/>
          <w:sz w:val="21"/>
          <w:lang w:val="en-US" w:eastAsia="zh-CN"/>
        </w:rPr>
        <w:t>附录2</w:t>
      </w:r>
      <w:r>
        <w:rPr>
          <w:rFonts w:hint="eastAsia" w:ascii="宋体" w:hAnsi="宋体" w:eastAsia="宋体" w:cs="宋体"/>
          <w:sz w:val="21"/>
        </w:rPr>
        <w:t>技术差异汇总</w:t>
      </w:r>
      <w:bookmarkEnd w:id="35"/>
      <w:bookmarkEnd w:id="36"/>
      <w:bookmarkEnd w:id="37"/>
    </w:p>
    <w:p>
      <w:pPr>
        <w:spacing w:line="360" w:lineRule="auto"/>
        <w:ind w:firstLine="420" w:firstLineChars="200"/>
        <w:rPr>
          <w:rFonts w:hint="eastAsia" w:ascii="宋体" w:hAnsi="宋体" w:eastAsia="宋体" w:cs="宋体"/>
        </w:rPr>
      </w:pPr>
      <w:r>
        <w:rPr>
          <w:rFonts w:hint="eastAsia" w:ascii="宋体" w:hAnsi="宋体" w:eastAsia="宋体" w:cs="宋体"/>
        </w:rPr>
        <w:t>投标方应将所供设备与本采购标准有差异之处，无论优于或劣于本规范书要求，均汇集成此表。</w:t>
      </w:r>
    </w:p>
    <w:p>
      <w:pPr>
        <w:pStyle w:val="17"/>
        <w:rPr>
          <w:rFonts w:hint="eastAsia" w:ascii="宋体" w:hAnsi="宋体" w:eastAsia="宋体" w:cs="宋体"/>
        </w:rPr>
      </w:pPr>
      <w:r>
        <w:rPr>
          <w:rFonts w:hint="eastAsia" w:ascii="宋体" w:hAnsi="宋体" w:eastAsia="宋体" w:cs="宋体"/>
          <w:lang w:val="en-US" w:eastAsia="zh-CN"/>
        </w:rPr>
        <w:t>附表2</w:t>
      </w:r>
      <w:r>
        <w:rPr>
          <w:rFonts w:hint="eastAsia" w:ascii="宋体" w:hAnsi="宋体" w:eastAsia="宋体" w:cs="宋体"/>
        </w:rPr>
        <w:t>技术差异表（投标方需填写）</w:t>
      </w:r>
    </w:p>
    <w:tbl>
      <w:tblPr>
        <w:tblStyle w:val="12"/>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1</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2</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3</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4</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5</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6</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bl>
    <w:p>
      <w:pPr>
        <w:ind w:firstLine="210" w:firstLineChars="100"/>
        <w:jc w:val="right"/>
        <w:rPr>
          <w:rFonts w:hint="eastAsia" w:ascii="宋体" w:hAnsi="宋体" w:eastAsia="宋体" w:cs="宋体"/>
          <w:szCs w:val="21"/>
        </w:rPr>
      </w:pPr>
    </w:p>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pStyle w:val="8"/>
        <w:adjustRightInd w:val="0"/>
        <w:snapToGrid w:val="0"/>
        <w:spacing w:beforeLines="50" w:line="360" w:lineRule="auto"/>
        <w:jc w:val="right"/>
        <w:rPr>
          <w:rFonts w:hint="eastAsia" w:ascii="宋体" w:hAnsi="宋体" w:eastAsia="宋体" w:cs="宋体"/>
          <w:szCs w:val="21"/>
        </w:rPr>
      </w:pPr>
      <w:r>
        <w:rPr>
          <w:rFonts w:hint="eastAsia" w:ascii="宋体" w:hAnsi="宋体" w:eastAsia="宋体" w:cs="宋体"/>
          <w:szCs w:val="21"/>
        </w:rPr>
        <w:t>日      期：         年    月    日</w:t>
      </w:r>
    </w:p>
    <w:p>
      <w:pPr>
        <w:pStyle w:val="2"/>
        <w:rPr>
          <w:rFonts w:hint="eastAsia" w:ascii="宋体" w:hAnsi="宋体" w:eastAsia="宋体" w:cs="宋体"/>
          <w:sz w:val="21"/>
        </w:rPr>
      </w:pPr>
      <w:bookmarkStart w:id="38" w:name="_Toc10197"/>
      <w:bookmarkStart w:id="39" w:name="_Toc28609"/>
      <w:bookmarkStart w:id="40" w:name="_Toc15957"/>
      <w:r>
        <w:rPr>
          <w:rFonts w:hint="eastAsia" w:ascii="宋体" w:hAnsi="宋体" w:eastAsia="宋体" w:cs="宋体"/>
          <w:sz w:val="21"/>
          <w:lang w:val="en-US" w:eastAsia="zh-CN"/>
        </w:rPr>
        <w:t>附录3</w:t>
      </w:r>
      <w:r>
        <w:rPr>
          <w:rFonts w:hint="eastAsia" w:ascii="宋体" w:hAnsi="宋体" w:eastAsia="宋体" w:cs="宋体"/>
          <w:sz w:val="21"/>
        </w:rPr>
        <w:t>主要元器件来源</w:t>
      </w:r>
      <w:bookmarkEnd w:id="38"/>
      <w:bookmarkEnd w:id="39"/>
      <w:bookmarkEnd w:id="40"/>
    </w:p>
    <w:p>
      <w:pPr>
        <w:pStyle w:val="17"/>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所有投标人需要提供主要元器件来源，制造商按附表3.1填写，集成商按附表3.2填写。</w:t>
      </w:r>
    </w:p>
    <w:p>
      <w:pPr>
        <w:pStyle w:val="17"/>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pStyle w:val="17"/>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w:t>
            </w:r>
            <w:r>
              <w:rPr>
                <w:rFonts w:hint="eastAsia" w:ascii="宋体" w:hAnsi="宋体" w:eastAsia="宋体" w:cs="宋体"/>
                <w:b/>
                <w:bCs/>
                <w:color w:val="auto"/>
                <w:sz w:val="21"/>
                <w:szCs w:val="21"/>
              </w:rPr>
              <w:t>单位</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ind w:firstLine="210" w:firstLineChars="100"/>
        <w:jc w:val="left"/>
        <w:rPr>
          <w:rFonts w:hint="eastAsia" w:ascii="宋体" w:hAnsi="宋体" w:eastAsia="宋体" w:cs="宋体"/>
          <w:szCs w:val="21"/>
        </w:rPr>
      </w:pPr>
    </w:p>
    <w:p>
      <w:pPr>
        <w:pStyle w:val="2"/>
        <w:rPr>
          <w:rFonts w:hint="eastAsia" w:ascii="宋体" w:hAnsi="宋体" w:eastAsia="宋体" w:cs="宋体"/>
          <w:sz w:val="21"/>
        </w:rPr>
      </w:pPr>
      <w:bookmarkStart w:id="41" w:name="_Toc3376"/>
      <w:bookmarkStart w:id="42" w:name="_Toc9076"/>
      <w:r>
        <w:rPr>
          <w:rFonts w:hint="eastAsia" w:ascii="宋体" w:hAnsi="宋体" w:eastAsia="宋体" w:cs="宋体"/>
          <w:sz w:val="21"/>
          <w:lang w:val="en-US" w:eastAsia="zh-CN"/>
        </w:rPr>
        <w:t>附录4</w:t>
      </w:r>
      <w:r>
        <w:rPr>
          <w:rFonts w:hint="eastAsia" w:ascii="宋体" w:hAnsi="宋体" w:eastAsia="宋体" w:cs="宋体"/>
          <w:sz w:val="21"/>
        </w:rPr>
        <w:t xml:space="preserve"> 备品备件、专用工具和仪器仪表供货表</w:t>
      </w:r>
      <w:bookmarkEnd w:id="41"/>
      <w:bookmarkEnd w:id="42"/>
    </w:p>
    <w:p>
      <w:pPr>
        <w:pStyle w:val="17"/>
        <w:spacing w:line="360" w:lineRule="auto"/>
        <w:ind w:firstLine="420" w:firstLineChars="200"/>
        <w:jc w:val="both"/>
        <w:rPr>
          <w:rFonts w:hint="eastAsia" w:ascii="宋体" w:hAnsi="宋体" w:eastAsia="宋体" w:cs="宋体"/>
        </w:rPr>
      </w:pPr>
      <w:r>
        <w:rPr>
          <w:rFonts w:hint="eastAsia" w:ascii="宋体" w:hAnsi="宋体" w:eastAsia="宋体" w:cs="宋体"/>
          <w:szCs w:val="21"/>
        </w:rPr>
        <w:t>投标方应向需方提供必备的备品备件、专用工具和仪器仪表清单见</w:t>
      </w:r>
      <w:r>
        <w:rPr>
          <w:rFonts w:hint="eastAsia" w:ascii="宋体" w:hAnsi="宋体" w:eastAsia="宋体" w:cs="宋体"/>
          <w:szCs w:val="21"/>
          <w:lang w:val="en-US" w:eastAsia="zh-CN"/>
        </w:rPr>
        <w:t>附表4</w:t>
      </w:r>
      <w:r>
        <w:rPr>
          <w:rFonts w:hint="eastAsia" w:ascii="宋体" w:hAnsi="宋体" w:eastAsia="宋体" w:cs="宋体"/>
          <w:szCs w:val="21"/>
        </w:rPr>
        <w:t>, 要求提供的备品备件、专用工具和仪器仪表应是新品, 与设备同型号、同工艺。</w:t>
      </w:r>
    </w:p>
    <w:p>
      <w:pPr>
        <w:pStyle w:val="17"/>
        <w:rPr>
          <w:rFonts w:hint="eastAsia" w:ascii="宋体" w:hAnsi="宋体" w:eastAsia="宋体" w:cs="宋体"/>
        </w:rPr>
      </w:pPr>
      <w:r>
        <w:rPr>
          <w:rFonts w:hint="eastAsia" w:ascii="宋体" w:hAnsi="宋体" w:eastAsia="宋体" w:cs="宋体"/>
          <w:lang w:val="en-US" w:eastAsia="zh-CN"/>
        </w:rPr>
        <w:t>附表4</w:t>
      </w:r>
      <w:r>
        <w:rPr>
          <w:rFonts w:hint="eastAsia" w:ascii="宋体" w:hAnsi="宋体" w:eastAsia="宋体" w:cs="宋体"/>
          <w:szCs w:val="21"/>
        </w:rPr>
        <w:t>必备及推荐的备品备件、专用工具和仪器仪表清单</w:t>
      </w:r>
      <w:r>
        <w:rPr>
          <w:rFonts w:hint="eastAsia" w:ascii="宋体" w:hAnsi="宋体" w:eastAsia="宋体" w:cs="宋体"/>
        </w:rPr>
        <w:t>（投标方填写）</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8"/>
              <w:jc w:val="center"/>
              <w:rPr>
                <w:rFonts w:hint="eastAsia" w:ascii="宋体" w:hAnsi="宋体" w:eastAsia="宋体" w:cs="宋体"/>
                <w:b/>
                <w:bCs/>
                <w:szCs w:val="21"/>
              </w:rPr>
            </w:pPr>
            <w:r>
              <w:rPr>
                <w:rFonts w:hint="eastAsia" w:ascii="宋体" w:hAnsi="宋体" w:eastAsia="宋体" w:cs="宋体"/>
                <w:b/>
                <w:bCs/>
                <w:szCs w:val="21"/>
              </w:rPr>
              <w:t>序号</w:t>
            </w:r>
          </w:p>
        </w:tc>
        <w:tc>
          <w:tcPr>
            <w:tcW w:w="1692" w:type="dxa"/>
            <w:vAlign w:val="center"/>
          </w:tcPr>
          <w:p>
            <w:pPr>
              <w:pStyle w:val="8"/>
              <w:jc w:val="center"/>
              <w:rPr>
                <w:rFonts w:hint="eastAsia" w:ascii="宋体" w:hAnsi="宋体" w:eastAsia="宋体" w:cs="宋体"/>
                <w:b/>
                <w:bCs/>
                <w:szCs w:val="21"/>
              </w:rPr>
            </w:pPr>
            <w:r>
              <w:rPr>
                <w:rFonts w:hint="eastAsia" w:ascii="宋体" w:hAnsi="宋体" w:eastAsia="宋体" w:cs="宋体"/>
                <w:b/>
                <w:bCs/>
                <w:szCs w:val="21"/>
              </w:rPr>
              <w:t>名称</w:t>
            </w:r>
          </w:p>
        </w:tc>
        <w:tc>
          <w:tcPr>
            <w:tcW w:w="912" w:type="dxa"/>
            <w:vAlign w:val="center"/>
          </w:tcPr>
          <w:p>
            <w:pPr>
              <w:pStyle w:val="8"/>
              <w:jc w:val="center"/>
              <w:rPr>
                <w:rFonts w:hint="eastAsia" w:ascii="宋体" w:hAnsi="宋体" w:eastAsia="宋体" w:cs="宋体"/>
                <w:b/>
                <w:bCs/>
                <w:szCs w:val="21"/>
              </w:rPr>
            </w:pPr>
            <w:r>
              <w:rPr>
                <w:rFonts w:hint="eastAsia" w:ascii="宋体" w:hAnsi="宋体" w:eastAsia="宋体" w:cs="宋体"/>
                <w:b/>
                <w:bCs/>
                <w:szCs w:val="21"/>
              </w:rPr>
              <w:t>型号及规格</w:t>
            </w:r>
          </w:p>
        </w:tc>
        <w:tc>
          <w:tcPr>
            <w:tcW w:w="1136" w:type="dxa"/>
            <w:vAlign w:val="center"/>
          </w:tcPr>
          <w:p>
            <w:pPr>
              <w:pStyle w:val="8"/>
              <w:jc w:val="center"/>
              <w:rPr>
                <w:rFonts w:hint="eastAsia" w:ascii="宋体" w:hAnsi="宋体" w:eastAsia="宋体" w:cs="宋体"/>
                <w:b/>
                <w:bCs/>
                <w:szCs w:val="21"/>
              </w:rPr>
            </w:pPr>
            <w:r>
              <w:rPr>
                <w:rFonts w:hint="eastAsia" w:ascii="宋体" w:hAnsi="宋体" w:eastAsia="宋体" w:cs="宋体"/>
                <w:b/>
                <w:bCs/>
                <w:szCs w:val="21"/>
              </w:rPr>
              <w:t>单位</w:t>
            </w:r>
          </w:p>
        </w:tc>
        <w:tc>
          <w:tcPr>
            <w:tcW w:w="817" w:type="dxa"/>
            <w:vAlign w:val="center"/>
          </w:tcPr>
          <w:p>
            <w:pPr>
              <w:pStyle w:val="8"/>
              <w:jc w:val="center"/>
              <w:rPr>
                <w:rFonts w:hint="eastAsia" w:ascii="宋体" w:hAnsi="宋体" w:eastAsia="宋体" w:cs="宋体"/>
                <w:b/>
                <w:bCs/>
                <w:szCs w:val="21"/>
              </w:rPr>
            </w:pPr>
            <w:r>
              <w:rPr>
                <w:rFonts w:hint="eastAsia" w:ascii="宋体" w:hAnsi="宋体" w:eastAsia="宋体" w:cs="宋体"/>
                <w:b/>
                <w:bCs/>
                <w:szCs w:val="21"/>
              </w:rPr>
              <w:t>数量</w:t>
            </w:r>
          </w:p>
        </w:tc>
        <w:tc>
          <w:tcPr>
            <w:tcW w:w="1382" w:type="dxa"/>
            <w:vAlign w:val="center"/>
          </w:tcPr>
          <w:p>
            <w:pPr>
              <w:pStyle w:val="8"/>
              <w:jc w:val="center"/>
              <w:rPr>
                <w:rFonts w:hint="eastAsia" w:ascii="宋体" w:hAnsi="宋体" w:eastAsia="宋体" w:cs="宋体"/>
                <w:b/>
                <w:bCs/>
                <w:szCs w:val="21"/>
              </w:rPr>
            </w:pPr>
            <w:r>
              <w:rPr>
                <w:rFonts w:hint="eastAsia" w:ascii="宋体" w:hAnsi="宋体" w:eastAsia="宋体" w:cs="宋体"/>
                <w:b/>
                <w:bCs/>
                <w:szCs w:val="21"/>
              </w:rPr>
              <w:t>使用处</w:t>
            </w:r>
          </w:p>
        </w:tc>
        <w:tc>
          <w:tcPr>
            <w:tcW w:w="974" w:type="dxa"/>
            <w:vAlign w:val="center"/>
          </w:tcPr>
          <w:p>
            <w:pPr>
              <w:pStyle w:val="8"/>
              <w:jc w:val="center"/>
              <w:rPr>
                <w:rFonts w:hint="eastAsia" w:ascii="宋体" w:hAnsi="宋体" w:eastAsia="宋体" w:cs="宋体"/>
                <w:b/>
                <w:bCs/>
                <w:szCs w:val="21"/>
              </w:rPr>
            </w:pPr>
            <w:r>
              <w:rPr>
                <w:rFonts w:hint="eastAsia" w:ascii="宋体" w:hAnsi="宋体" w:eastAsia="宋体" w:cs="宋体"/>
                <w:b/>
                <w:bCs/>
                <w:szCs w:val="21"/>
              </w:rPr>
              <w:t>制造商</w:t>
            </w:r>
          </w:p>
        </w:tc>
        <w:tc>
          <w:tcPr>
            <w:tcW w:w="996" w:type="dxa"/>
            <w:vAlign w:val="center"/>
          </w:tcPr>
          <w:p>
            <w:pPr>
              <w:pStyle w:val="8"/>
              <w:jc w:val="center"/>
              <w:rPr>
                <w:rFonts w:hint="eastAsia" w:ascii="宋体" w:hAnsi="宋体" w:eastAsia="宋体" w:cs="宋体"/>
                <w:b/>
                <w:bCs/>
                <w:szCs w:val="21"/>
              </w:rPr>
            </w:pPr>
            <w:r>
              <w:rPr>
                <w:rFonts w:hint="eastAsia" w:ascii="宋体" w:hAnsi="宋体" w:eastAsia="宋体" w:cs="宋体"/>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8"/>
              <w:jc w:val="center"/>
              <w:rPr>
                <w:rFonts w:hint="eastAsia" w:ascii="宋体" w:hAnsi="宋体" w:eastAsia="宋体" w:cs="宋体"/>
                <w:szCs w:val="21"/>
              </w:rPr>
            </w:pPr>
          </w:p>
        </w:tc>
        <w:tc>
          <w:tcPr>
            <w:tcW w:w="1692" w:type="dxa"/>
          </w:tcPr>
          <w:p>
            <w:pPr>
              <w:pStyle w:val="8"/>
              <w:jc w:val="center"/>
              <w:rPr>
                <w:rFonts w:hint="eastAsia" w:ascii="宋体" w:hAnsi="宋体" w:eastAsia="宋体" w:cs="宋体"/>
                <w:szCs w:val="21"/>
              </w:rPr>
            </w:pPr>
          </w:p>
        </w:tc>
        <w:tc>
          <w:tcPr>
            <w:tcW w:w="912" w:type="dxa"/>
          </w:tcPr>
          <w:p>
            <w:pPr>
              <w:pStyle w:val="8"/>
              <w:jc w:val="center"/>
              <w:rPr>
                <w:rFonts w:hint="eastAsia" w:ascii="宋体" w:hAnsi="宋体" w:eastAsia="宋体" w:cs="宋体"/>
                <w:szCs w:val="21"/>
              </w:rPr>
            </w:pPr>
          </w:p>
        </w:tc>
        <w:tc>
          <w:tcPr>
            <w:tcW w:w="1136" w:type="dxa"/>
          </w:tcPr>
          <w:p>
            <w:pPr>
              <w:pStyle w:val="8"/>
              <w:jc w:val="center"/>
              <w:rPr>
                <w:rFonts w:hint="eastAsia" w:ascii="宋体" w:hAnsi="宋体" w:eastAsia="宋体" w:cs="宋体"/>
                <w:szCs w:val="21"/>
              </w:rPr>
            </w:pPr>
          </w:p>
        </w:tc>
        <w:tc>
          <w:tcPr>
            <w:tcW w:w="817" w:type="dxa"/>
          </w:tcPr>
          <w:p>
            <w:pPr>
              <w:pStyle w:val="8"/>
              <w:jc w:val="center"/>
              <w:rPr>
                <w:rFonts w:hint="eastAsia" w:ascii="宋体" w:hAnsi="宋体" w:eastAsia="宋体" w:cs="宋体"/>
                <w:szCs w:val="21"/>
              </w:rPr>
            </w:pPr>
          </w:p>
        </w:tc>
        <w:tc>
          <w:tcPr>
            <w:tcW w:w="1382" w:type="dxa"/>
          </w:tcPr>
          <w:p>
            <w:pPr>
              <w:pStyle w:val="8"/>
              <w:jc w:val="center"/>
              <w:rPr>
                <w:rFonts w:hint="eastAsia" w:ascii="宋体" w:hAnsi="宋体" w:eastAsia="宋体" w:cs="宋体"/>
                <w:szCs w:val="21"/>
              </w:rPr>
            </w:pPr>
          </w:p>
        </w:tc>
        <w:tc>
          <w:tcPr>
            <w:tcW w:w="974" w:type="dxa"/>
          </w:tcPr>
          <w:p>
            <w:pPr>
              <w:pStyle w:val="8"/>
              <w:jc w:val="center"/>
              <w:rPr>
                <w:rFonts w:hint="eastAsia" w:ascii="宋体" w:hAnsi="宋体" w:eastAsia="宋体" w:cs="宋体"/>
                <w:szCs w:val="21"/>
              </w:rPr>
            </w:pPr>
          </w:p>
        </w:tc>
        <w:tc>
          <w:tcPr>
            <w:tcW w:w="996" w:type="dxa"/>
          </w:tcPr>
          <w:p>
            <w:pPr>
              <w:pStyle w:val="8"/>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8"/>
              <w:jc w:val="center"/>
              <w:rPr>
                <w:rFonts w:hint="eastAsia" w:ascii="宋体" w:hAnsi="宋体" w:eastAsia="宋体" w:cs="宋体"/>
                <w:szCs w:val="21"/>
              </w:rPr>
            </w:pPr>
          </w:p>
        </w:tc>
        <w:tc>
          <w:tcPr>
            <w:tcW w:w="1692" w:type="dxa"/>
          </w:tcPr>
          <w:p>
            <w:pPr>
              <w:pStyle w:val="8"/>
              <w:jc w:val="center"/>
              <w:rPr>
                <w:rFonts w:hint="eastAsia" w:ascii="宋体" w:hAnsi="宋体" w:eastAsia="宋体" w:cs="宋体"/>
                <w:szCs w:val="21"/>
              </w:rPr>
            </w:pPr>
          </w:p>
        </w:tc>
        <w:tc>
          <w:tcPr>
            <w:tcW w:w="912" w:type="dxa"/>
          </w:tcPr>
          <w:p>
            <w:pPr>
              <w:pStyle w:val="8"/>
              <w:jc w:val="center"/>
              <w:rPr>
                <w:rFonts w:hint="eastAsia" w:ascii="宋体" w:hAnsi="宋体" w:eastAsia="宋体" w:cs="宋体"/>
                <w:szCs w:val="21"/>
              </w:rPr>
            </w:pPr>
          </w:p>
        </w:tc>
        <w:tc>
          <w:tcPr>
            <w:tcW w:w="1136" w:type="dxa"/>
          </w:tcPr>
          <w:p>
            <w:pPr>
              <w:pStyle w:val="8"/>
              <w:jc w:val="center"/>
              <w:rPr>
                <w:rFonts w:hint="eastAsia" w:ascii="宋体" w:hAnsi="宋体" w:eastAsia="宋体" w:cs="宋体"/>
                <w:szCs w:val="21"/>
              </w:rPr>
            </w:pPr>
          </w:p>
        </w:tc>
        <w:tc>
          <w:tcPr>
            <w:tcW w:w="817" w:type="dxa"/>
          </w:tcPr>
          <w:p>
            <w:pPr>
              <w:pStyle w:val="8"/>
              <w:jc w:val="center"/>
              <w:rPr>
                <w:rFonts w:hint="eastAsia" w:ascii="宋体" w:hAnsi="宋体" w:eastAsia="宋体" w:cs="宋体"/>
                <w:szCs w:val="21"/>
              </w:rPr>
            </w:pPr>
          </w:p>
        </w:tc>
        <w:tc>
          <w:tcPr>
            <w:tcW w:w="1382" w:type="dxa"/>
          </w:tcPr>
          <w:p>
            <w:pPr>
              <w:pStyle w:val="8"/>
              <w:jc w:val="center"/>
              <w:rPr>
                <w:rFonts w:hint="eastAsia" w:ascii="宋体" w:hAnsi="宋体" w:eastAsia="宋体" w:cs="宋体"/>
                <w:szCs w:val="21"/>
              </w:rPr>
            </w:pPr>
          </w:p>
        </w:tc>
        <w:tc>
          <w:tcPr>
            <w:tcW w:w="974" w:type="dxa"/>
          </w:tcPr>
          <w:p>
            <w:pPr>
              <w:pStyle w:val="8"/>
              <w:jc w:val="center"/>
              <w:rPr>
                <w:rFonts w:hint="eastAsia" w:ascii="宋体" w:hAnsi="宋体" w:eastAsia="宋体" w:cs="宋体"/>
                <w:szCs w:val="21"/>
              </w:rPr>
            </w:pPr>
          </w:p>
        </w:tc>
        <w:tc>
          <w:tcPr>
            <w:tcW w:w="996" w:type="dxa"/>
          </w:tcPr>
          <w:p>
            <w:pPr>
              <w:pStyle w:val="8"/>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8"/>
              <w:jc w:val="center"/>
              <w:rPr>
                <w:rFonts w:hint="eastAsia" w:ascii="宋体" w:hAnsi="宋体" w:eastAsia="宋体" w:cs="宋体"/>
                <w:szCs w:val="21"/>
              </w:rPr>
            </w:pPr>
          </w:p>
        </w:tc>
        <w:tc>
          <w:tcPr>
            <w:tcW w:w="1692" w:type="dxa"/>
          </w:tcPr>
          <w:p>
            <w:pPr>
              <w:pStyle w:val="8"/>
              <w:jc w:val="center"/>
              <w:rPr>
                <w:rFonts w:hint="eastAsia" w:ascii="宋体" w:hAnsi="宋体" w:eastAsia="宋体" w:cs="宋体"/>
                <w:szCs w:val="21"/>
              </w:rPr>
            </w:pPr>
          </w:p>
        </w:tc>
        <w:tc>
          <w:tcPr>
            <w:tcW w:w="912" w:type="dxa"/>
          </w:tcPr>
          <w:p>
            <w:pPr>
              <w:pStyle w:val="8"/>
              <w:jc w:val="center"/>
              <w:rPr>
                <w:rFonts w:hint="eastAsia" w:ascii="宋体" w:hAnsi="宋体" w:eastAsia="宋体" w:cs="宋体"/>
                <w:szCs w:val="21"/>
              </w:rPr>
            </w:pPr>
          </w:p>
        </w:tc>
        <w:tc>
          <w:tcPr>
            <w:tcW w:w="1136" w:type="dxa"/>
          </w:tcPr>
          <w:p>
            <w:pPr>
              <w:pStyle w:val="8"/>
              <w:jc w:val="center"/>
              <w:rPr>
                <w:rFonts w:hint="eastAsia" w:ascii="宋体" w:hAnsi="宋体" w:eastAsia="宋体" w:cs="宋体"/>
                <w:szCs w:val="21"/>
              </w:rPr>
            </w:pPr>
          </w:p>
        </w:tc>
        <w:tc>
          <w:tcPr>
            <w:tcW w:w="817" w:type="dxa"/>
          </w:tcPr>
          <w:p>
            <w:pPr>
              <w:pStyle w:val="8"/>
              <w:jc w:val="center"/>
              <w:rPr>
                <w:rFonts w:hint="eastAsia" w:ascii="宋体" w:hAnsi="宋体" w:eastAsia="宋体" w:cs="宋体"/>
                <w:szCs w:val="21"/>
              </w:rPr>
            </w:pPr>
          </w:p>
        </w:tc>
        <w:tc>
          <w:tcPr>
            <w:tcW w:w="1382" w:type="dxa"/>
          </w:tcPr>
          <w:p>
            <w:pPr>
              <w:pStyle w:val="8"/>
              <w:jc w:val="center"/>
              <w:rPr>
                <w:rFonts w:hint="eastAsia" w:ascii="宋体" w:hAnsi="宋体" w:eastAsia="宋体" w:cs="宋体"/>
                <w:szCs w:val="21"/>
              </w:rPr>
            </w:pPr>
          </w:p>
        </w:tc>
        <w:tc>
          <w:tcPr>
            <w:tcW w:w="974" w:type="dxa"/>
          </w:tcPr>
          <w:p>
            <w:pPr>
              <w:pStyle w:val="8"/>
              <w:jc w:val="center"/>
              <w:rPr>
                <w:rFonts w:hint="eastAsia" w:ascii="宋体" w:hAnsi="宋体" w:eastAsia="宋体" w:cs="宋体"/>
                <w:szCs w:val="21"/>
              </w:rPr>
            </w:pPr>
          </w:p>
        </w:tc>
        <w:tc>
          <w:tcPr>
            <w:tcW w:w="996" w:type="dxa"/>
          </w:tcPr>
          <w:p>
            <w:pPr>
              <w:pStyle w:val="8"/>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8"/>
              <w:jc w:val="center"/>
              <w:rPr>
                <w:rFonts w:hint="eastAsia" w:ascii="宋体" w:hAnsi="宋体" w:eastAsia="宋体" w:cs="宋体"/>
                <w:szCs w:val="21"/>
              </w:rPr>
            </w:pPr>
          </w:p>
        </w:tc>
        <w:tc>
          <w:tcPr>
            <w:tcW w:w="1692" w:type="dxa"/>
          </w:tcPr>
          <w:p>
            <w:pPr>
              <w:pStyle w:val="8"/>
              <w:jc w:val="center"/>
              <w:rPr>
                <w:rFonts w:hint="eastAsia" w:ascii="宋体" w:hAnsi="宋体" w:eastAsia="宋体" w:cs="宋体"/>
                <w:szCs w:val="21"/>
              </w:rPr>
            </w:pPr>
          </w:p>
        </w:tc>
        <w:tc>
          <w:tcPr>
            <w:tcW w:w="912" w:type="dxa"/>
          </w:tcPr>
          <w:p>
            <w:pPr>
              <w:pStyle w:val="8"/>
              <w:jc w:val="center"/>
              <w:rPr>
                <w:rFonts w:hint="eastAsia" w:ascii="宋体" w:hAnsi="宋体" w:eastAsia="宋体" w:cs="宋体"/>
                <w:szCs w:val="21"/>
              </w:rPr>
            </w:pPr>
          </w:p>
        </w:tc>
        <w:tc>
          <w:tcPr>
            <w:tcW w:w="1136" w:type="dxa"/>
          </w:tcPr>
          <w:p>
            <w:pPr>
              <w:pStyle w:val="8"/>
              <w:jc w:val="center"/>
              <w:rPr>
                <w:rFonts w:hint="eastAsia" w:ascii="宋体" w:hAnsi="宋体" w:eastAsia="宋体" w:cs="宋体"/>
                <w:szCs w:val="21"/>
              </w:rPr>
            </w:pPr>
          </w:p>
        </w:tc>
        <w:tc>
          <w:tcPr>
            <w:tcW w:w="817" w:type="dxa"/>
          </w:tcPr>
          <w:p>
            <w:pPr>
              <w:pStyle w:val="8"/>
              <w:jc w:val="center"/>
              <w:rPr>
                <w:rFonts w:hint="eastAsia" w:ascii="宋体" w:hAnsi="宋体" w:eastAsia="宋体" w:cs="宋体"/>
                <w:szCs w:val="21"/>
              </w:rPr>
            </w:pPr>
          </w:p>
        </w:tc>
        <w:tc>
          <w:tcPr>
            <w:tcW w:w="1382" w:type="dxa"/>
          </w:tcPr>
          <w:p>
            <w:pPr>
              <w:pStyle w:val="8"/>
              <w:jc w:val="center"/>
              <w:rPr>
                <w:rFonts w:hint="eastAsia" w:ascii="宋体" w:hAnsi="宋体" w:eastAsia="宋体" w:cs="宋体"/>
                <w:szCs w:val="21"/>
              </w:rPr>
            </w:pPr>
          </w:p>
        </w:tc>
        <w:tc>
          <w:tcPr>
            <w:tcW w:w="974" w:type="dxa"/>
          </w:tcPr>
          <w:p>
            <w:pPr>
              <w:pStyle w:val="8"/>
              <w:jc w:val="center"/>
              <w:rPr>
                <w:rFonts w:hint="eastAsia" w:ascii="宋体" w:hAnsi="宋体" w:eastAsia="宋体" w:cs="宋体"/>
                <w:szCs w:val="21"/>
              </w:rPr>
            </w:pPr>
          </w:p>
        </w:tc>
        <w:tc>
          <w:tcPr>
            <w:tcW w:w="996" w:type="dxa"/>
          </w:tcPr>
          <w:p>
            <w:pPr>
              <w:pStyle w:val="8"/>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8"/>
              <w:jc w:val="center"/>
              <w:rPr>
                <w:rFonts w:hint="eastAsia" w:ascii="宋体" w:hAnsi="宋体" w:eastAsia="宋体" w:cs="宋体"/>
                <w:szCs w:val="21"/>
              </w:rPr>
            </w:pPr>
          </w:p>
        </w:tc>
        <w:tc>
          <w:tcPr>
            <w:tcW w:w="1692" w:type="dxa"/>
          </w:tcPr>
          <w:p>
            <w:pPr>
              <w:pStyle w:val="8"/>
              <w:jc w:val="center"/>
              <w:rPr>
                <w:rFonts w:hint="eastAsia" w:ascii="宋体" w:hAnsi="宋体" w:eastAsia="宋体" w:cs="宋体"/>
                <w:szCs w:val="21"/>
              </w:rPr>
            </w:pPr>
          </w:p>
        </w:tc>
        <w:tc>
          <w:tcPr>
            <w:tcW w:w="912" w:type="dxa"/>
          </w:tcPr>
          <w:p>
            <w:pPr>
              <w:pStyle w:val="8"/>
              <w:jc w:val="center"/>
              <w:rPr>
                <w:rFonts w:hint="eastAsia" w:ascii="宋体" w:hAnsi="宋体" w:eastAsia="宋体" w:cs="宋体"/>
                <w:szCs w:val="21"/>
              </w:rPr>
            </w:pPr>
          </w:p>
        </w:tc>
        <w:tc>
          <w:tcPr>
            <w:tcW w:w="1136" w:type="dxa"/>
          </w:tcPr>
          <w:p>
            <w:pPr>
              <w:pStyle w:val="8"/>
              <w:jc w:val="center"/>
              <w:rPr>
                <w:rFonts w:hint="eastAsia" w:ascii="宋体" w:hAnsi="宋体" w:eastAsia="宋体" w:cs="宋体"/>
                <w:szCs w:val="21"/>
              </w:rPr>
            </w:pPr>
          </w:p>
        </w:tc>
        <w:tc>
          <w:tcPr>
            <w:tcW w:w="817" w:type="dxa"/>
          </w:tcPr>
          <w:p>
            <w:pPr>
              <w:pStyle w:val="8"/>
              <w:jc w:val="center"/>
              <w:rPr>
                <w:rFonts w:hint="eastAsia" w:ascii="宋体" w:hAnsi="宋体" w:eastAsia="宋体" w:cs="宋体"/>
                <w:szCs w:val="21"/>
              </w:rPr>
            </w:pPr>
          </w:p>
        </w:tc>
        <w:tc>
          <w:tcPr>
            <w:tcW w:w="1382" w:type="dxa"/>
          </w:tcPr>
          <w:p>
            <w:pPr>
              <w:pStyle w:val="8"/>
              <w:jc w:val="center"/>
              <w:rPr>
                <w:rFonts w:hint="eastAsia" w:ascii="宋体" w:hAnsi="宋体" w:eastAsia="宋体" w:cs="宋体"/>
                <w:szCs w:val="21"/>
              </w:rPr>
            </w:pPr>
          </w:p>
        </w:tc>
        <w:tc>
          <w:tcPr>
            <w:tcW w:w="974" w:type="dxa"/>
          </w:tcPr>
          <w:p>
            <w:pPr>
              <w:pStyle w:val="8"/>
              <w:jc w:val="center"/>
              <w:rPr>
                <w:rFonts w:hint="eastAsia" w:ascii="宋体" w:hAnsi="宋体" w:eastAsia="宋体" w:cs="宋体"/>
                <w:szCs w:val="21"/>
              </w:rPr>
            </w:pPr>
          </w:p>
        </w:tc>
        <w:tc>
          <w:tcPr>
            <w:tcW w:w="996" w:type="dxa"/>
          </w:tcPr>
          <w:p>
            <w:pPr>
              <w:pStyle w:val="8"/>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8"/>
              <w:jc w:val="center"/>
              <w:rPr>
                <w:rFonts w:hint="eastAsia" w:ascii="宋体" w:hAnsi="宋体" w:eastAsia="宋体" w:cs="宋体"/>
                <w:szCs w:val="21"/>
              </w:rPr>
            </w:pPr>
          </w:p>
        </w:tc>
        <w:tc>
          <w:tcPr>
            <w:tcW w:w="1692" w:type="dxa"/>
          </w:tcPr>
          <w:p>
            <w:pPr>
              <w:pStyle w:val="8"/>
              <w:jc w:val="center"/>
              <w:rPr>
                <w:rFonts w:hint="eastAsia" w:ascii="宋体" w:hAnsi="宋体" w:eastAsia="宋体" w:cs="宋体"/>
                <w:szCs w:val="21"/>
              </w:rPr>
            </w:pPr>
          </w:p>
        </w:tc>
        <w:tc>
          <w:tcPr>
            <w:tcW w:w="912" w:type="dxa"/>
          </w:tcPr>
          <w:p>
            <w:pPr>
              <w:pStyle w:val="8"/>
              <w:jc w:val="center"/>
              <w:rPr>
                <w:rFonts w:hint="eastAsia" w:ascii="宋体" w:hAnsi="宋体" w:eastAsia="宋体" w:cs="宋体"/>
                <w:szCs w:val="21"/>
              </w:rPr>
            </w:pPr>
          </w:p>
        </w:tc>
        <w:tc>
          <w:tcPr>
            <w:tcW w:w="1136" w:type="dxa"/>
          </w:tcPr>
          <w:p>
            <w:pPr>
              <w:pStyle w:val="8"/>
              <w:jc w:val="center"/>
              <w:rPr>
                <w:rFonts w:hint="eastAsia" w:ascii="宋体" w:hAnsi="宋体" w:eastAsia="宋体" w:cs="宋体"/>
                <w:szCs w:val="21"/>
              </w:rPr>
            </w:pPr>
          </w:p>
        </w:tc>
        <w:tc>
          <w:tcPr>
            <w:tcW w:w="817" w:type="dxa"/>
          </w:tcPr>
          <w:p>
            <w:pPr>
              <w:pStyle w:val="8"/>
              <w:jc w:val="center"/>
              <w:rPr>
                <w:rFonts w:hint="eastAsia" w:ascii="宋体" w:hAnsi="宋体" w:eastAsia="宋体" w:cs="宋体"/>
                <w:szCs w:val="21"/>
              </w:rPr>
            </w:pPr>
          </w:p>
        </w:tc>
        <w:tc>
          <w:tcPr>
            <w:tcW w:w="1382" w:type="dxa"/>
          </w:tcPr>
          <w:p>
            <w:pPr>
              <w:pStyle w:val="8"/>
              <w:jc w:val="center"/>
              <w:rPr>
                <w:rFonts w:hint="eastAsia" w:ascii="宋体" w:hAnsi="宋体" w:eastAsia="宋体" w:cs="宋体"/>
                <w:szCs w:val="21"/>
              </w:rPr>
            </w:pPr>
          </w:p>
        </w:tc>
        <w:tc>
          <w:tcPr>
            <w:tcW w:w="974" w:type="dxa"/>
          </w:tcPr>
          <w:p>
            <w:pPr>
              <w:pStyle w:val="8"/>
              <w:jc w:val="center"/>
              <w:rPr>
                <w:rFonts w:hint="eastAsia" w:ascii="宋体" w:hAnsi="宋体" w:eastAsia="宋体" w:cs="宋体"/>
                <w:szCs w:val="21"/>
              </w:rPr>
            </w:pPr>
          </w:p>
        </w:tc>
        <w:tc>
          <w:tcPr>
            <w:tcW w:w="996" w:type="dxa"/>
          </w:tcPr>
          <w:p>
            <w:pPr>
              <w:pStyle w:val="8"/>
              <w:jc w:val="center"/>
              <w:rPr>
                <w:rFonts w:hint="eastAsia" w:ascii="宋体" w:hAnsi="宋体" w:eastAsia="宋体" w:cs="宋体"/>
                <w:szCs w:val="21"/>
              </w:rPr>
            </w:pPr>
          </w:p>
        </w:tc>
      </w:tr>
    </w:tbl>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jc w:val="right"/>
        <w:rPr>
          <w:rFonts w:hint="eastAsia" w:ascii="宋体" w:hAnsi="宋体" w:eastAsia="宋体" w:cs="宋体"/>
          <w:szCs w:val="21"/>
        </w:rPr>
      </w:pPr>
      <w:r>
        <w:rPr>
          <w:rFonts w:hint="eastAsia" w:ascii="宋体" w:hAnsi="宋体" w:eastAsia="宋体" w:cs="宋体"/>
          <w:szCs w:val="21"/>
        </w:rPr>
        <w:t>日      期：         年    月    日</w:t>
      </w:r>
    </w:p>
    <w:p/>
    <w:sectPr>
      <w:footerReference r:id="rId7" w:type="default"/>
      <w:pgSz w:w="11906" w:h="16838"/>
      <w:pgMar w:top="1440" w:right="1440" w:bottom="1440" w:left="1440" w:header="851" w:footer="992" w:gutter="0"/>
      <w:pgNumType w:fmt="decimal" w:start="2"/>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1BA9F9"/>
    <w:multiLevelType w:val="multilevel"/>
    <w:tmpl w:val="E31BA9F9"/>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
    <w:nsid w:val="7EECAA01"/>
    <w:multiLevelType w:val="multilevel"/>
    <w:tmpl w:val="7EECAA01"/>
    <w:lvl w:ilvl="0" w:tentative="0">
      <w:start w:val="1"/>
      <w:numFmt w:val="upperRoman"/>
      <w:lvlText w:val="第 %1 条"/>
      <w:lvlJc w:val="left"/>
      <w:pPr>
        <w:tabs>
          <w:tab w:val="left" w:pos="1440"/>
        </w:tabs>
        <w:ind w:left="0" w:firstLine="0"/>
      </w:pPr>
    </w:lvl>
    <w:lvl w:ilvl="1" w:tentative="0">
      <w:start w:val="1"/>
      <w:numFmt w:val="decimalZero"/>
      <w:isLgl/>
      <w:lvlText w:val="节 %1.%2"/>
      <w:lvlJc w:val="left"/>
      <w:pPr>
        <w:tabs>
          <w:tab w:val="left" w:pos="1080"/>
        </w:tabs>
        <w:ind w:left="0" w:firstLine="0"/>
      </w:pPr>
    </w:lvl>
    <w:lvl w:ilvl="2" w:tentative="0">
      <w:start w:val="1"/>
      <w:numFmt w:val="lowerLetter"/>
      <w:lvlText w:val="(%3)"/>
      <w:lvlJc w:val="left"/>
      <w:pPr>
        <w:tabs>
          <w:tab w:val="left" w:pos="720"/>
        </w:tabs>
        <w:ind w:left="720" w:hanging="432"/>
      </w:pPr>
    </w:lvl>
    <w:lvl w:ilvl="3" w:tentative="0">
      <w:start w:val="1"/>
      <w:numFmt w:val="lowerRoman"/>
      <w:pStyle w:val="4"/>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IyZTVmOTlhODRjYjE5NzUyNzRlOTA1ZjZhMjc1NTMifQ=="/>
  </w:docVars>
  <w:rsids>
    <w:rsidRoot w:val="0DA31B86"/>
    <w:rsid w:val="00160BFF"/>
    <w:rsid w:val="002411EA"/>
    <w:rsid w:val="00CC0D15"/>
    <w:rsid w:val="00F0259D"/>
    <w:rsid w:val="034A5312"/>
    <w:rsid w:val="044600F0"/>
    <w:rsid w:val="0B8652DC"/>
    <w:rsid w:val="0DA31B86"/>
    <w:rsid w:val="10B624F5"/>
    <w:rsid w:val="125B0150"/>
    <w:rsid w:val="13E42C19"/>
    <w:rsid w:val="19F537B7"/>
    <w:rsid w:val="1A5818E5"/>
    <w:rsid w:val="1B3E70B3"/>
    <w:rsid w:val="1B420EAB"/>
    <w:rsid w:val="1E1968FD"/>
    <w:rsid w:val="21FC73EC"/>
    <w:rsid w:val="2B1C13E9"/>
    <w:rsid w:val="2FA54819"/>
    <w:rsid w:val="31E44396"/>
    <w:rsid w:val="33154745"/>
    <w:rsid w:val="33407FD9"/>
    <w:rsid w:val="3AA12D62"/>
    <w:rsid w:val="3B563194"/>
    <w:rsid w:val="3BBD597A"/>
    <w:rsid w:val="3ED5122D"/>
    <w:rsid w:val="4C742085"/>
    <w:rsid w:val="50321F20"/>
    <w:rsid w:val="5F30008D"/>
    <w:rsid w:val="5F8D1D88"/>
    <w:rsid w:val="6180182A"/>
    <w:rsid w:val="640D7DC7"/>
    <w:rsid w:val="645C5C1C"/>
    <w:rsid w:val="71FC02A3"/>
    <w:rsid w:val="79197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styleId="2">
    <w:name w:val="heading 1"/>
    <w:basedOn w:val="3"/>
    <w:next w:val="1"/>
    <w:qFormat/>
    <w:uiPriority w:val="0"/>
    <w:pPr>
      <w:spacing w:before="0" w:after="0" w:line="480" w:lineRule="auto"/>
      <w:outlineLvl w:val="0"/>
    </w:pPr>
    <w:rPr>
      <w:rFonts w:asciiTheme="minorEastAsia" w:hAnsiTheme="minorEastAsia" w:eastAsiaTheme="minorEastAsia"/>
      <w:sz w:val="28"/>
      <w:szCs w:val="28"/>
    </w:rPr>
  </w:style>
  <w:style w:type="paragraph" w:styleId="3">
    <w:name w:val="heading 2"/>
    <w:basedOn w:val="1"/>
    <w:next w:val="1"/>
    <w:qFormat/>
    <w:uiPriority w:val="0"/>
    <w:pPr>
      <w:keepNext/>
      <w:keepLines/>
      <w:spacing w:before="260" w:after="260" w:line="416" w:lineRule="auto"/>
      <w:outlineLvl w:val="1"/>
    </w:pPr>
    <w:rPr>
      <w:rFonts w:ascii="Cambria" w:hAnsi="Cambria"/>
      <w:b/>
      <w:bCs/>
      <w:sz w:val="32"/>
      <w:szCs w:val="32"/>
    </w:rPr>
  </w:style>
  <w:style w:type="paragraph" w:styleId="4">
    <w:name w:val="heading 4"/>
    <w:basedOn w:val="1"/>
    <w:next w:val="1"/>
    <w:unhideWhenUsed/>
    <w:qFormat/>
    <w:uiPriority w:val="0"/>
    <w:pPr>
      <w:keepNext/>
      <w:keepLines/>
      <w:numPr>
        <w:ilvl w:val="3"/>
        <w:numId w:val="1"/>
      </w:numPr>
      <w:spacing w:before="280" w:after="290" w:line="372" w:lineRule="auto"/>
      <w:outlineLvl w:val="3"/>
    </w:pPr>
    <w:rPr>
      <w:rFonts w:ascii="Arial" w:hAnsi="Arial" w:eastAsia="黑体"/>
      <w:b/>
      <w:sz w:val="28"/>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unhideWhenUsed/>
    <w:qFormat/>
    <w:uiPriority w:val="0"/>
    <w:pPr>
      <w:jc w:val="left"/>
    </w:pPr>
  </w:style>
  <w:style w:type="paragraph" w:styleId="6">
    <w:name w:val="Body Text"/>
    <w:basedOn w:val="1"/>
    <w:next w:val="7"/>
    <w:qFormat/>
    <w:uiPriority w:val="0"/>
    <w:pPr>
      <w:spacing w:after="120"/>
    </w:pPr>
  </w:style>
  <w:style w:type="paragraph" w:styleId="7">
    <w:name w:val="Title"/>
    <w:basedOn w:val="1"/>
    <w:next w:val="1"/>
    <w:qFormat/>
    <w:uiPriority w:val="0"/>
    <w:pPr>
      <w:spacing w:before="240" w:after="60"/>
      <w:jc w:val="center"/>
      <w:outlineLvl w:val="0"/>
    </w:pPr>
    <w:rPr>
      <w:rFonts w:ascii="Arial" w:hAnsi="Arial"/>
      <w:b/>
      <w:sz w:val="32"/>
    </w:rPr>
  </w:style>
  <w:style w:type="paragraph" w:styleId="8">
    <w:name w:val="Plain Text"/>
    <w:basedOn w:val="1"/>
    <w:qFormat/>
    <w:uiPriority w:val="0"/>
    <w:rPr>
      <w:rFonts w:ascii="宋体" w:hAnsi="Courier New"/>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link w:val="16"/>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1">
    <w:name w:val="toc 1"/>
    <w:basedOn w:val="1"/>
    <w:next w:val="1"/>
    <w:unhideWhenUsed/>
    <w:qFormat/>
    <w:uiPriority w:val="39"/>
    <w:pPr>
      <w:spacing w:line="400" w:lineRule="exact"/>
    </w:pPr>
    <w:rPr>
      <w:b/>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首行缩进"/>
    <w:basedOn w:val="1"/>
    <w:qFormat/>
    <w:uiPriority w:val="0"/>
    <w:pPr>
      <w:spacing w:line="300" w:lineRule="auto"/>
      <w:ind w:firstLine="420" w:firstLineChars="200"/>
    </w:pPr>
    <w:rPr>
      <w:rFonts w:ascii="Times New Roman" w:hAnsi="Times New Roman" w:eastAsia="方正书宋简体" w:cs="宋体"/>
      <w:szCs w:val="20"/>
    </w:rPr>
  </w:style>
  <w:style w:type="character" w:customStyle="1" w:styleId="16">
    <w:name w:val="页眉 字符"/>
    <w:basedOn w:val="14"/>
    <w:link w:val="10"/>
    <w:qFormat/>
    <w:uiPriority w:val="0"/>
    <w:rPr>
      <w:rFonts w:ascii="Calibri" w:hAnsi="Calibri"/>
      <w:kern w:val="2"/>
      <w:sz w:val="18"/>
      <w:szCs w:val="18"/>
    </w:rPr>
  </w:style>
  <w:style w:type="paragraph" w:customStyle="1" w:styleId="17">
    <w:name w:val="段"/>
    <w:qFormat/>
    <w:uiPriority w:val="0"/>
    <w:pPr>
      <w:jc w:val="center"/>
      <w:outlineLvl w:val="3"/>
    </w:pPr>
    <w:rPr>
      <w:rFonts w:ascii="宋体" w:hAnsi="Times New Roman" w:eastAsia="宋体" w:cs="Times New Roman"/>
      <w:sz w:val="21"/>
      <w:lang w:val="en-US" w:eastAsia="zh-CN" w:bidi="ar-SA"/>
    </w:rPr>
  </w:style>
  <w:style w:type="paragraph" w:customStyle="1" w:styleId="18">
    <w:name w:val="WPSOffice手动目录 1"/>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5333</Words>
  <Characters>5726</Characters>
  <Lines>45</Lines>
  <Paragraphs>12</Paragraphs>
  <TotalTime>0</TotalTime>
  <ScaleCrop>false</ScaleCrop>
  <LinksUpToDate>false</LinksUpToDate>
  <CharactersWithSpaces>5926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2025-03-04T08:21:00Z</dcterms:created>
  <dc:creator>.</dc:creator>
  <cp:lastModifiedBy>俞汶希</cp:lastModifiedBy>
  <dcterms:modified xsi:type="dcterms:W3CDTF">2025-09-29T09:07:33Z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521B0E7A2F294B078093CC349A5EB945_13</vt:lpwstr>
  </property>
  <property fmtid="{D5CDD505-2E9C-101B-9397-08002B2CF9AE}" pid="4" name="KSOTemplateDocerSaveRecord">
    <vt:lpwstr>eyJoZGlkIjoiZjU5YTQ4NmQ0YzVmNjQ1YjYzNTcyNDk1YzBmNmI1NzkiLCJ1c2VySWQiOiIxNDQ0MTMyMDcxIn0=</vt:lpwstr>
  </property>
</Properties>
</file>