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8"/>
          <w:szCs w:val="28"/>
          <w:highlight w:val="none"/>
          <w:u w:val="none"/>
          <w:lang w:val="en-US" w:eastAsia="zh-CN"/>
        </w:rPr>
        <w:t>标段名称：藏东南至粤港澳大湾区±800千伏特高压直流输电工程深圳中部换流站三通一平施工</w:t>
      </w:r>
      <w:bookmarkStart w:id="1" w:name="_GoBack"/>
      <w:bookmarkEnd w:id="1"/>
    </w:p>
    <w:tbl>
      <w:tblPr>
        <w:tblStyle w:val="18"/>
        <w:tblW w:w="7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4"/>
                <w:szCs w:val="24"/>
              </w:rPr>
              <w:t>文件文号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可研批复文号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南方电网规划〔2024〕137号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项目备案文号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发改能源〔2025〕791号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初设批复文号</w:t>
            </w:r>
          </w:p>
        </w:tc>
        <w:tc>
          <w:tcPr>
            <w:tcW w:w="347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kern w:val="0"/>
                <w:szCs w:val="21"/>
              </w:rPr>
              <w:t>南方电网工程〔2025〕1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资金落实情况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snapToGrid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南方电网计财[2025]6号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施工图预算批复文号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南网超高压公司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项目建设地点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宋体" w:cs="Times New Roman"/>
                <w:snapToGrid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  <w:lang w:val="en-US" w:eastAsia="zh-CN"/>
              </w:rPr>
              <w:t>广东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前期的设计或咨询服务单位名称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hd w:val="clear" w:color="auto" w:fill="auto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 xml:space="preserve">中国电力工程顾问集团华东电力设计院有限公司 </w:t>
            </w:r>
          </w:p>
          <w:p>
            <w:pPr>
              <w:pStyle w:val="2"/>
              <w:shd w:val="clear" w:color="auto" w:fill="auto"/>
              <w:snapToGrid w:val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  <w:t>中国能源建设集团云南省电力设计院有限公司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/>
                <w:bCs/>
                <w:snapToGrid w:val="0"/>
                <w:color w:val="auto"/>
                <w:sz w:val="21"/>
                <w:szCs w:val="21"/>
              </w:rPr>
              <w:t>项目监理单位</w:t>
            </w:r>
          </w:p>
        </w:tc>
        <w:tc>
          <w:tcPr>
            <w:tcW w:w="3476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napToGrid w:val="0"/>
                <w:color w:val="auto"/>
                <w:sz w:val="21"/>
                <w:szCs w:val="21"/>
              </w:rPr>
              <w:t>/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rPr>
          <w:rFonts w:hint="default" w:ascii="Times New Roman" w:hAnsi="Times New Roman" w:cs="Times New Roman"/>
          <w:i w:val="0"/>
          <w:iCs w:val="0"/>
          <w:color w:val="auto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  <w:t>一、项目概况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藏粤直流工程依托玉曲河、察隅曲、克劳龙河（吉太曲）等流域“水风光一体化”清洁能源基地，新建一回±800千伏特高压四端柔性直流送电粤港澳大湾区，在广东广州建设一座±800kV柔直换流站（广州小迳换流站），换流容量5000MW，</w:t>
      </w:r>
      <w:bookmarkStart w:id="0" w:name="_Hlk203773782"/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站址围墙内占地面积19.8261公顷，新建进站道路长度595米，站区围墙长度1833米，站址西北侧和西南侧、东南侧为丘坡地貌，其余地段为丘间平地，场地地面高程20米-85米，大部分地段植被发育，以乔木、灌木为主，部分地段为水塘，三通一平施工包含挖方量187万立方米，填方量181万</w:t>
      </w:r>
      <w:bookmarkEnd w:id="0"/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立方米等。</w:t>
      </w:r>
    </w:p>
    <w:p>
      <w:pPr>
        <w:pStyle w:val="2"/>
        <w:adjustRightInd w:val="0"/>
        <w:snapToGrid w:val="0"/>
        <w:spacing w:line="360" w:lineRule="auto"/>
        <w:ind w:firstLine="420" w:firstLineChars="200"/>
        <w:rPr>
          <w:rFonts w:hint="default" w:ascii="Times New Roman" w:hAnsi="Times New Roman" w:cs="Times New Roman"/>
          <w:b/>
          <w:color w:val="auto"/>
          <w:sz w:val="21"/>
          <w:szCs w:val="21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在广东深圳建设一座±800kV柔直换流站（深圳中部换流站），换流容量5000MW，站址围墙内占地面积20.4791公顷，新建进站道路长度200米，站区围墙长度1818米，站址地貌主要为风化剥蚀残丘和丘间冲沟洼地组成，地势南高北低，东西高中部低，站区中部为窝水涌沟，四周为高山，自然地形高程约119-193米，三通一平施工包含挖方量162.3万立方米，填方量162.3万立方米等，</w:t>
      </w:r>
      <w:r>
        <w:rPr>
          <w:rFonts w:hint="default" w:ascii="Times New Roman" w:hAnsi="Times New Roman" w:cs="Times New Roman"/>
          <w:b w:val="0"/>
          <w:bCs/>
          <w:color w:val="auto"/>
          <w:sz w:val="21"/>
          <w:szCs w:val="21"/>
          <w:u w:val="none"/>
        </w:rPr>
        <w:t>具体建设规模以施工图纸为准。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二、采购</w:t>
      </w:r>
      <w:r>
        <w:rPr>
          <w:rFonts w:hint="default" w:ascii="Times New Roman" w:hAnsi="Times New Roman" w:eastAsia="宋体" w:cs="Times New Roman"/>
          <w:b/>
          <w:bCs/>
          <w:i w:val="0"/>
          <w:iCs w:val="0"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范围</w:t>
      </w:r>
    </w:p>
    <w:p>
      <w:pPr>
        <w:pStyle w:val="2"/>
        <w:snapToGrid w:val="0"/>
        <w:spacing w:line="360" w:lineRule="auto"/>
        <w:ind w:firstLine="422" w:firstLineChars="200"/>
        <w:jc w:val="left"/>
        <w:outlineLvl w:val="0"/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包括施工图范围内的建筑、安装及调试工程。施工图范围内的下列工作内容，无□及</w:t>
      </w:r>
      <w:r>
        <w:rPr>
          <w:rFonts w:hint="default" w:ascii="Times New Roman" w:hAnsi="Times New Roman" w:cs="Times New Roman"/>
          <w:color w:val="auto"/>
          <w:sz w:val="21"/>
          <w:szCs w:val="21"/>
        </w:rPr>
        <w:t>☑</w:t>
      </w:r>
      <w:r>
        <w:rPr>
          <w:rFonts w:hint="default" w:ascii="Times New Roman" w:hAnsi="Times New Roman" w:cs="Times New Roman"/>
          <w:b/>
          <w:bCs/>
          <w:snapToGrid w:val="0"/>
          <w:color w:val="auto"/>
          <w:sz w:val="21"/>
          <w:szCs w:val="21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jc w:val="both"/>
        <w:textAlignment w:val="auto"/>
        <w:outlineLvl w:val="9"/>
        <w:rPr>
          <w:rFonts w:hint="default" w:ascii="Times New Roman" w:hAnsi="Times New Roman" w:cs="Times New Roman"/>
          <w:i w:val="0"/>
          <w:i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1</w:t>
      </w:r>
      <w:r>
        <w:rPr>
          <w:rFonts w:hint="eastAsia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.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藏粤直流工程深圳中部换流站站区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、进站道路及临建设施（集中</w:t>
      </w:r>
      <w:r>
        <w:rPr>
          <w:rFonts w:hint="eastAsia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、</w:t>
      </w:r>
      <w:r>
        <w:rPr>
          <w:rFonts w:hint="eastAsia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临时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办公区及其临时道路）场地平整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，还建道路</w:t>
      </w:r>
      <w:r>
        <w:rPr>
          <w:rFonts w:hint="default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试验桩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施工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边坡及挡土墙，站外水源，站外排水系统，临时工程，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征地配合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，白蚁防治，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施工期间水土保持、复垦、环境保护和绿色建造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  <w:lang w:eastAsia="zh-CN"/>
        </w:rPr>
        <w:t>，</w:t>
      </w:r>
      <w:r>
        <w:rPr>
          <w:rFonts w:hint="default" w:ascii="Times New Roman" w:hAnsi="Times New Roman" w:cs="Times New Roman"/>
          <w:i w:val="0"/>
          <w:iCs w:val="0"/>
          <w:color w:val="auto"/>
          <w:kern w:val="0"/>
          <w:szCs w:val="24"/>
          <w:highlight w:val="none"/>
          <w:lang w:val="en-US" w:eastAsia="zh-CN"/>
        </w:rPr>
        <w:t>站内临时堆土场、</w:t>
      </w:r>
      <w:r>
        <w:rPr>
          <w:rFonts w:hint="default" w:ascii="Times New Roman" w:hAnsi="Times New Roman" w:eastAsia="宋体" w:cs="Times New Roman"/>
          <w:i w:val="0"/>
          <w:iCs w:val="0"/>
          <w:color w:val="auto"/>
          <w:kern w:val="0"/>
          <w:szCs w:val="24"/>
          <w:highlight w:val="none"/>
        </w:rPr>
        <w:t>配合第三方检测、监测</w:t>
      </w:r>
      <w:r>
        <w:rPr>
          <w:rFonts w:hint="default" w:ascii="Times New Roman" w:hAnsi="Times New Roman" w:cs="Times New Roman" w:eastAsiaTheme="minorEastAsia"/>
          <w:b w:val="0"/>
          <w:bCs w:val="0"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等。</w:t>
      </w:r>
    </w:p>
    <w:p>
      <w:pPr>
        <w:pStyle w:val="2"/>
        <w:snapToGrid w:val="0"/>
        <w:spacing w:line="360" w:lineRule="auto"/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napToGrid w:val="0"/>
          <w:color w:val="auto"/>
          <w:sz w:val="24"/>
          <w:szCs w:val="24"/>
        </w:rPr>
        <w:t>三、承包方式</w:t>
      </w:r>
    </w:p>
    <w:p>
      <w:pPr>
        <w:pStyle w:val="2"/>
        <w:snapToGrid w:val="0"/>
        <w:spacing w:line="360" w:lineRule="auto"/>
        <w:ind w:firstLine="422" w:firstLineChars="200"/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包工、部分包料，施工图纸范围内如有下列设备、材料，无□及</w: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instrText xml:space="preserve"> EQ \o\ac(□,√)</w:instrText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hint="default" w:ascii="Times New Roman" w:hAnsi="Times New Roman" w:eastAsia="宋体" w:cs="Times New Roman"/>
          <w:b/>
          <w:bCs w:val="0"/>
          <w:color w:val="auto"/>
          <w:kern w:val="2"/>
          <w:sz w:val="21"/>
          <w:szCs w:val="21"/>
          <w:lang w:val="en-US" w:eastAsia="zh-CN" w:bidi="ar-SA"/>
        </w:rPr>
        <w:t>的为甲供，□未打√的及不在下列的为乙供。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color w:val="auto"/>
          <w:szCs w:val="21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（一）甲供物资：</w:t>
      </w:r>
    </w:p>
    <w:p>
      <w:p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b/>
          <w:bCs/>
          <w:color w:val="auto"/>
          <w:szCs w:val="21"/>
          <w:lang w:val="en-US"/>
        </w:rPr>
      </w:pPr>
      <w:r>
        <w:rPr>
          <w:rFonts w:hint="default" w:ascii="Times New Roman" w:hAnsi="Times New Roman" w:cs="Times New Roman" w:eastAsiaTheme="minorEastAsia"/>
          <w:b/>
          <w:bCs/>
          <w:i w:val="0"/>
          <w:iCs w:val="0"/>
          <w:snapToGrid w:val="0"/>
          <w:color w:val="auto"/>
          <w:kern w:val="0"/>
          <w:sz w:val="21"/>
          <w:szCs w:val="21"/>
          <w:highlight w:val="none"/>
          <w:u w:val="none"/>
          <w:vertAlign w:val="baseline"/>
          <w:lang w:val="en-US" w:eastAsia="zh-CN" w:bidi="ar-SA"/>
        </w:rPr>
        <w:t>1、深圳中部换流站</w:t>
      </w:r>
    </w:p>
    <w:p>
      <w:pPr>
        <w:autoSpaceDE w:val="0"/>
        <w:autoSpaceDN w:val="0"/>
        <w:adjustRightInd w:val="0"/>
        <w:snapToGrid w:val="0"/>
        <w:spacing w:line="360" w:lineRule="auto"/>
        <w:ind w:firstLine="420" w:firstLineChars="200"/>
        <w:jc w:val="left"/>
        <w:rPr>
          <w:rFonts w:hint="default" w:ascii="Times New Roman" w:hAnsi="Times New Roman" w:cs="Times New Roman"/>
          <w:b w:val="0"/>
          <w:bCs/>
          <w:color w:val="auto"/>
          <w:szCs w:val="21"/>
        </w:rPr>
      </w:pPr>
      <w:r>
        <w:rPr>
          <w:rFonts w:hint="default" w:ascii="Times New Roman" w:hAnsi="Times New Roman" w:cs="Times New Roman"/>
          <w:b w:val="0"/>
          <w:bCs/>
          <w:color w:val="auto"/>
          <w:szCs w:val="21"/>
        </w:rPr>
        <w:t>电气一次设备(含水泵房干式变压器（带外壳）、10kV</w:t>
      </w:r>
      <w:r>
        <w:rPr>
          <w:rFonts w:hint="default" w:ascii="Times New Roman" w:hAnsi="Times New Roman" w:cs="Times New Roman"/>
          <w:b w:val="0"/>
          <w:bCs/>
          <w:color w:val="auto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auto"/>
          <w:szCs w:val="21"/>
        </w:rPr>
        <w:t>SF6全绝缘负荷开关自动化成套柜（安全可控）、低压开关柜，低压交流电力电缆(不含消防电缆、通信机房接入调度室线缆)、水泵房户内10kV铜芯交联聚乙烯绝缘电力电缆（防蚁阻燃型）及10kV交流电力电缆附件、控制电缆、耐火电缆槽盒、水泵房增压水泵（含控制柜及配套阀门管件）、二次综合监控设备（含直流电源、控制保护等）和空调。</w:t>
      </w:r>
    </w:p>
    <w:p>
      <w:pPr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auto"/>
        <w:ind w:firstLine="422" w:firstLineChars="200"/>
        <w:jc w:val="left"/>
        <w:rPr>
          <w:rFonts w:hint="default" w:ascii="Times New Roman" w:hAnsi="Times New Roman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Cs w:val="21"/>
        </w:rPr>
        <w:t>其他甲供物资：</w:t>
      </w:r>
      <w:r>
        <w:rPr>
          <w:rFonts w:hint="default" w:ascii="Times New Roman" w:hAnsi="Times New Roman" w:cs="Times New Roman"/>
          <w:bCs/>
          <w:color w:val="auto"/>
          <w:szCs w:val="21"/>
          <w:u w:val="single"/>
        </w:rPr>
        <w:t xml:space="preserve"> /。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C7E8C769-6DFA-4E48-8C63-01F44DD69C0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ind w:right="360" w:firstLine="360"/>
      <w:jc w:val="center"/>
      <w:rPr>
        <w:sz w:val="21"/>
        <w:szCs w:val="21"/>
      </w:rPr>
    </w:pPr>
    <w:r>
      <w:rPr>
        <w:sz w:val="21"/>
        <w:szCs w:val="21"/>
      </w:rPr>
      <w:t xml:space="preserve"> </w:t>
    </w:r>
    <w:r>
      <w:rPr>
        <w:rFonts w:ascii="Times New Roman" w:hAnsi="Times New Roman" w:cs="Times New Roman"/>
        <w:sz w:val="21"/>
        <w:szCs w:val="21"/>
      </w:rPr>
      <w:fldChar w:fldCharType="begin"/>
    </w:r>
    <w:r>
      <w:rPr>
        <w:rFonts w:ascii="Times New Roman" w:hAnsi="Times New Roman" w:cs="Times New Roman"/>
        <w:sz w:val="21"/>
        <w:szCs w:val="21"/>
      </w:rPr>
      <w:instrText xml:space="preserve">PAGE   \* MERGEFORMAT</w:instrText>
    </w:r>
    <w:r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  <w:lang w:val="zh-CN"/>
      </w:rPr>
      <w:t>14</w:t>
    </w:r>
    <w:r>
      <w:rPr>
        <w:rFonts w:ascii="Times New Roman" w:hAnsi="Times New Roman" w:cs="Times New Roman"/>
        <w:sz w:val="21"/>
        <w:szCs w:val="21"/>
      </w:rPr>
      <w:fldChar w:fldCharType="end"/>
    </w:r>
    <w:r>
      <w:rPr>
        <w:sz w:val="21"/>
        <w:szCs w:val="21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240" w:beforeLines="100"/>
      <w:rPr>
        <w:rFonts w:ascii="Times New Roman" w:hAnsi="Times New Roman" w:eastAsia="楷体" w:cs="Times New Roman"/>
        <w:sz w:val="18"/>
        <w:szCs w:val="18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E7D96"/>
    <w:multiLevelType w:val="singleLevel"/>
    <w:tmpl w:val="2F1E7D9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1C160B"/>
    <w:rsid w:val="00420E7C"/>
    <w:rsid w:val="00AA75A7"/>
    <w:rsid w:val="010F4D4C"/>
    <w:rsid w:val="01C015FF"/>
    <w:rsid w:val="01F34FBF"/>
    <w:rsid w:val="0213224F"/>
    <w:rsid w:val="025A67AA"/>
    <w:rsid w:val="02721111"/>
    <w:rsid w:val="02886898"/>
    <w:rsid w:val="02AB31E9"/>
    <w:rsid w:val="02D07A79"/>
    <w:rsid w:val="034623EE"/>
    <w:rsid w:val="04184952"/>
    <w:rsid w:val="04653A3F"/>
    <w:rsid w:val="047C49E9"/>
    <w:rsid w:val="04F049A8"/>
    <w:rsid w:val="056117E3"/>
    <w:rsid w:val="05BA2CB8"/>
    <w:rsid w:val="063F3A64"/>
    <w:rsid w:val="06666721"/>
    <w:rsid w:val="073F20F3"/>
    <w:rsid w:val="07E24976"/>
    <w:rsid w:val="08944426"/>
    <w:rsid w:val="096E4722"/>
    <w:rsid w:val="09B7769B"/>
    <w:rsid w:val="0A172612"/>
    <w:rsid w:val="0A2C0C06"/>
    <w:rsid w:val="0ABF3DE8"/>
    <w:rsid w:val="0AEC727C"/>
    <w:rsid w:val="0B851774"/>
    <w:rsid w:val="0C93150A"/>
    <w:rsid w:val="0C952D82"/>
    <w:rsid w:val="0CBC3C74"/>
    <w:rsid w:val="0D8920C3"/>
    <w:rsid w:val="0DBE04C6"/>
    <w:rsid w:val="0DF6159C"/>
    <w:rsid w:val="0E890600"/>
    <w:rsid w:val="0EDC2445"/>
    <w:rsid w:val="0F013483"/>
    <w:rsid w:val="0F126346"/>
    <w:rsid w:val="0FEB729D"/>
    <w:rsid w:val="10D46A26"/>
    <w:rsid w:val="112A3D19"/>
    <w:rsid w:val="11472166"/>
    <w:rsid w:val="1171712A"/>
    <w:rsid w:val="11C955BB"/>
    <w:rsid w:val="11E12C61"/>
    <w:rsid w:val="120B2110"/>
    <w:rsid w:val="12D9053A"/>
    <w:rsid w:val="12DC5FA1"/>
    <w:rsid w:val="131577DB"/>
    <w:rsid w:val="13511BBE"/>
    <w:rsid w:val="13A965B0"/>
    <w:rsid w:val="13F6014E"/>
    <w:rsid w:val="14612762"/>
    <w:rsid w:val="15125241"/>
    <w:rsid w:val="154D0DEA"/>
    <w:rsid w:val="158F187F"/>
    <w:rsid w:val="160D793F"/>
    <w:rsid w:val="16B32D29"/>
    <w:rsid w:val="17464AB3"/>
    <w:rsid w:val="185365BF"/>
    <w:rsid w:val="18787932"/>
    <w:rsid w:val="18866C6C"/>
    <w:rsid w:val="19567321"/>
    <w:rsid w:val="19B71113"/>
    <w:rsid w:val="1A473CA6"/>
    <w:rsid w:val="1A555BBE"/>
    <w:rsid w:val="1A85373E"/>
    <w:rsid w:val="1ACC755B"/>
    <w:rsid w:val="1B846D66"/>
    <w:rsid w:val="1BB4525B"/>
    <w:rsid w:val="1C4A05F8"/>
    <w:rsid w:val="1CBB20F3"/>
    <w:rsid w:val="1D181F4A"/>
    <w:rsid w:val="1E35361B"/>
    <w:rsid w:val="1E964759"/>
    <w:rsid w:val="1E981E46"/>
    <w:rsid w:val="1EC2624D"/>
    <w:rsid w:val="200407CD"/>
    <w:rsid w:val="200F41A6"/>
    <w:rsid w:val="204D3C8B"/>
    <w:rsid w:val="206D64FC"/>
    <w:rsid w:val="20BB44E8"/>
    <w:rsid w:val="21293853"/>
    <w:rsid w:val="214848C1"/>
    <w:rsid w:val="21782177"/>
    <w:rsid w:val="227620EA"/>
    <w:rsid w:val="227F2CA6"/>
    <w:rsid w:val="232606DC"/>
    <w:rsid w:val="23607DE2"/>
    <w:rsid w:val="23736E88"/>
    <w:rsid w:val="23895DB1"/>
    <w:rsid w:val="23CF381C"/>
    <w:rsid w:val="24053DA7"/>
    <w:rsid w:val="240A6030"/>
    <w:rsid w:val="24CE7A5A"/>
    <w:rsid w:val="250B44FA"/>
    <w:rsid w:val="252D708B"/>
    <w:rsid w:val="27924413"/>
    <w:rsid w:val="28220AFC"/>
    <w:rsid w:val="28A80261"/>
    <w:rsid w:val="290B5D62"/>
    <w:rsid w:val="29702FAD"/>
    <w:rsid w:val="29735D77"/>
    <w:rsid w:val="298B1640"/>
    <w:rsid w:val="29C410CB"/>
    <w:rsid w:val="2A8C2D26"/>
    <w:rsid w:val="2AF32708"/>
    <w:rsid w:val="2B13509A"/>
    <w:rsid w:val="2C31308C"/>
    <w:rsid w:val="2C8F0EA7"/>
    <w:rsid w:val="2CE26F74"/>
    <w:rsid w:val="2CE72BBB"/>
    <w:rsid w:val="2D1852EF"/>
    <w:rsid w:val="2D8653E1"/>
    <w:rsid w:val="2DBA1D37"/>
    <w:rsid w:val="2E6F6B90"/>
    <w:rsid w:val="2E993E36"/>
    <w:rsid w:val="2EF23C52"/>
    <w:rsid w:val="2EF43B94"/>
    <w:rsid w:val="2F097580"/>
    <w:rsid w:val="2F197C4D"/>
    <w:rsid w:val="2F5100A4"/>
    <w:rsid w:val="3075179D"/>
    <w:rsid w:val="307B6474"/>
    <w:rsid w:val="30D366C7"/>
    <w:rsid w:val="319121DA"/>
    <w:rsid w:val="319375DC"/>
    <w:rsid w:val="321E6130"/>
    <w:rsid w:val="321F2DC5"/>
    <w:rsid w:val="3243118A"/>
    <w:rsid w:val="32BD3524"/>
    <w:rsid w:val="345B286C"/>
    <w:rsid w:val="34902BCC"/>
    <w:rsid w:val="34961CD9"/>
    <w:rsid w:val="34A1443F"/>
    <w:rsid w:val="351C27B0"/>
    <w:rsid w:val="35F6026E"/>
    <w:rsid w:val="361424F5"/>
    <w:rsid w:val="36C02D19"/>
    <w:rsid w:val="371F7A61"/>
    <w:rsid w:val="37AB2D5A"/>
    <w:rsid w:val="37CF4189"/>
    <w:rsid w:val="38307AD1"/>
    <w:rsid w:val="38D40BFF"/>
    <w:rsid w:val="38F4537F"/>
    <w:rsid w:val="396857D4"/>
    <w:rsid w:val="3B720CD8"/>
    <w:rsid w:val="3BA52C45"/>
    <w:rsid w:val="3DD006F5"/>
    <w:rsid w:val="3E1C2B61"/>
    <w:rsid w:val="3E3E7CC7"/>
    <w:rsid w:val="3E895925"/>
    <w:rsid w:val="3EA242D1"/>
    <w:rsid w:val="3F2A7C66"/>
    <w:rsid w:val="410427B6"/>
    <w:rsid w:val="41073E0E"/>
    <w:rsid w:val="41A11B43"/>
    <w:rsid w:val="422A4891"/>
    <w:rsid w:val="428B0805"/>
    <w:rsid w:val="42AB18C2"/>
    <w:rsid w:val="432730CB"/>
    <w:rsid w:val="43374CD4"/>
    <w:rsid w:val="43455B8A"/>
    <w:rsid w:val="435F7804"/>
    <w:rsid w:val="43AA7164"/>
    <w:rsid w:val="43B617BB"/>
    <w:rsid w:val="44337C1C"/>
    <w:rsid w:val="446F0F4B"/>
    <w:rsid w:val="447311FF"/>
    <w:rsid w:val="44DF14C8"/>
    <w:rsid w:val="45010FCD"/>
    <w:rsid w:val="45857D9C"/>
    <w:rsid w:val="45B90BAD"/>
    <w:rsid w:val="45D35BB2"/>
    <w:rsid w:val="468F70F5"/>
    <w:rsid w:val="46B46844"/>
    <w:rsid w:val="46B9408D"/>
    <w:rsid w:val="46D332C1"/>
    <w:rsid w:val="46ED6069"/>
    <w:rsid w:val="4942653E"/>
    <w:rsid w:val="49A847A6"/>
    <w:rsid w:val="49FF2174"/>
    <w:rsid w:val="4A180A44"/>
    <w:rsid w:val="4AE828A9"/>
    <w:rsid w:val="4AF34C74"/>
    <w:rsid w:val="4B32221A"/>
    <w:rsid w:val="4B926AB1"/>
    <w:rsid w:val="4BC81760"/>
    <w:rsid w:val="4C27522D"/>
    <w:rsid w:val="4C55038A"/>
    <w:rsid w:val="4C717EE1"/>
    <w:rsid w:val="4CDD12A8"/>
    <w:rsid w:val="4D391DAD"/>
    <w:rsid w:val="4D510AD1"/>
    <w:rsid w:val="4DFA077B"/>
    <w:rsid w:val="4E1B0A03"/>
    <w:rsid w:val="4E335445"/>
    <w:rsid w:val="4E612ADD"/>
    <w:rsid w:val="4EE24A5B"/>
    <w:rsid w:val="4F4068DE"/>
    <w:rsid w:val="4F91232E"/>
    <w:rsid w:val="4F937849"/>
    <w:rsid w:val="50530ACD"/>
    <w:rsid w:val="506816E4"/>
    <w:rsid w:val="508558A6"/>
    <w:rsid w:val="51145746"/>
    <w:rsid w:val="511C160B"/>
    <w:rsid w:val="515E7D31"/>
    <w:rsid w:val="51874B16"/>
    <w:rsid w:val="519F621D"/>
    <w:rsid w:val="52885076"/>
    <w:rsid w:val="535D61E7"/>
    <w:rsid w:val="53AB6B01"/>
    <w:rsid w:val="53DC18A1"/>
    <w:rsid w:val="54216091"/>
    <w:rsid w:val="545110D1"/>
    <w:rsid w:val="547B107C"/>
    <w:rsid w:val="54A07B2F"/>
    <w:rsid w:val="54AE588B"/>
    <w:rsid w:val="54E54D3D"/>
    <w:rsid w:val="552D3719"/>
    <w:rsid w:val="5591023D"/>
    <w:rsid w:val="55C84DE4"/>
    <w:rsid w:val="55D46A07"/>
    <w:rsid w:val="564E2C80"/>
    <w:rsid w:val="56563349"/>
    <w:rsid w:val="57F161C0"/>
    <w:rsid w:val="592856EA"/>
    <w:rsid w:val="59CE37A6"/>
    <w:rsid w:val="5A017854"/>
    <w:rsid w:val="5AD115CD"/>
    <w:rsid w:val="5B043B95"/>
    <w:rsid w:val="5B171E82"/>
    <w:rsid w:val="5B256DD6"/>
    <w:rsid w:val="5CA90D7A"/>
    <w:rsid w:val="5D156186"/>
    <w:rsid w:val="5D4A0134"/>
    <w:rsid w:val="5DA546AF"/>
    <w:rsid w:val="5E92116F"/>
    <w:rsid w:val="5EE906B0"/>
    <w:rsid w:val="5F500D3D"/>
    <w:rsid w:val="5F813FC0"/>
    <w:rsid w:val="5F9271EE"/>
    <w:rsid w:val="5FA82DEF"/>
    <w:rsid w:val="5FD52EAC"/>
    <w:rsid w:val="5FFD1D7C"/>
    <w:rsid w:val="607B63D6"/>
    <w:rsid w:val="60807BFF"/>
    <w:rsid w:val="61245EFD"/>
    <w:rsid w:val="62714A32"/>
    <w:rsid w:val="62F07AE3"/>
    <w:rsid w:val="633562CC"/>
    <w:rsid w:val="643166B3"/>
    <w:rsid w:val="643C3652"/>
    <w:rsid w:val="66533F6E"/>
    <w:rsid w:val="669C7C7D"/>
    <w:rsid w:val="6829183D"/>
    <w:rsid w:val="698E123D"/>
    <w:rsid w:val="6AC95741"/>
    <w:rsid w:val="6AF81D8A"/>
    <w:rsid w:val="6B356FEF"/>
    <w:rsid w:val="6B3B2CBB"/>
    <w:rsid w:val="6B3D558B"/>
    <w:rsid w:val="6C5C22D4"/>
    <w:rsid w:val="6DA438F0"/>
    <w:rsid w:val="6E1E4715"/>
    <w:rsid w:val="6E7E2D5A"/>
    <w:rsid w:val="6E9A3E10"/>
    <w:rsid w:val="6EAF3408"/>
    <w:rsid w:val="6F8A028E"/>
    <w:rsid w:val="6FCE294B"/>
    <w:rsid w:val="6FD8258B"/>
    <w:rsid w:val="70AB6673"/>
    <w:rsid w:val="715273A6"/>
    <w:rsid w:val="7159528B"/>
    <w:rsid w:val="71887D53"/>
    <w:rsid w:val="72247D78"/>
    <w:rsid w:val="738E27FD"/>
    <w:rsid w:val="73C075B8"/>
    <w:rsid w:val="73C313C2"/>
    <w:rsid w:val="74167854"/>
    <w:rsid w:val="741B35EC"/>
    <w:rsid w:val="74BA7716"/>
    <w:rsid w:val="75892461"/>
    <w:rsid w:val="75BF2B4D"/>
    <w:rsid w:val="75FE0B1A"/>
    <w:rsid w:val="764E655D"/>
    <w:rsid w:val="765E0811"/>
    <w:rsid w:val="766A6DBB"/>
    <w:rsid w:val="7677576F"/>
    <w:rsid w:val="768F4E19"/>
    <w:rsid w:val="76C611FB"/>
    <w:rsid w:val="770B70DA"/>
    <w:rsid w:val="778B672F"/>
    <w:rsid w:val="77972F48"/>
    <w:rsid w:val="77A7135E"/>
    <w:rsid w:val="77D55FB4"/>
    <w:rsid w:val="78362FBC"/>
    <w:rsid w:val="786C12A0"/>
    <w:rsid w:val="788274D1"/>
    <w:rsid w:val="789B17B9"/>
    <w:rsid w:val="78FA4387"/>
    <w:rsid w:val="79011794"/>
    <w:rsid w:val="799449A0"/>
    <w:rsid w:val="7A0479F1"/>
    <w:rsid w:val="7A403F0D"/>
    <w:rsid w:val="7A4778AC"/>
    <w:rsid w:val="7A5B103B"/>
    <w:rsid w:val="7A6678E3"/>
    <w:rsid w:val="7AE43B4F"/>
    <w:rsid w:val="7AEE0D33"/>
    <w:rsid w:val="7B115A6C"/>
    <w:rsid w:val="7B1E0809"/>
    <w:rsid w:val="7BE11BCC"/>
    <w:rsid w:val="7BFA4CF4"/>
    <w:rsid w:val="7C3410A6"/>
    <w:rsid w:val="7C7D040E"/>
    <w:rsid w:val="7CCB17CA"/>
    <w:rsid w:val="7CEA1DC0"/>
    <w:rsid w:val="7D082779"/>
    <w:rsid w:val="7D4525F8"/>
    <w:rsid w:val="7D6C40EC"/>
    <w:rsid w:val="7D960ACB"/>
    <w:rsid w:val="7D9C3754"/>
    <w:rsid w:val="7DEF6F7E"/>
    <w:rsid w:val="7E0A29DC"/>
    <w:rsid w:val="7E7C75B1"/>
    <w:rsid w:val="7F33152B"/>
    <w:rsid w:val="7F3B0945"/>
    <w:rsid w:val="7FE9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/>
      <w:jc w:val="left"/>
      <w:outlineLvl w:val="0"/>
    </w:pPr>
    <w:rPr>
      <w:rFonts w:ascii="宋体" w:hAnsi="宋体" w:eastAsia="宋体" w:cs="Times New Roman"/>
      <w:b/>
      <w:bCs/>
      <w:color w:val="000000"/>
      <w:kern w:val="44"/>
      <w:szCs w:val="21"/>
    </w:rPr>
  </w:style>
  <w:style w:type="paragraph" w:styleId="4">
    <w:name w:val="heading 2"/>
    <w:basedOn w:val="1"/>
    <w:next w:val="1"/>
    <w:unhideWhenUsed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paragraph" w:styleId="5">
    <w:name w:val="heading 3"/>
    <w:basedOn w:val="1"/>
    <w:next w:val="1"/>
    <w:qFormat/>
    <w:uiPriority w:val="0"/>
    <w:pPr>
      <w:keepNext/>
      <w:keepLines/>
      <w:spacing w:before="260" w:after="260" w:line="416" w:lineRule="auto"/>
      <w:ind w:firstLine="200" w:firstLineChars="200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6">
    <w:name w:val="heading 4"/>
    <w:basedOn w:val="5"/>
    <w:next w:val="7"/>
    <w:qFormat/>
    <w:uiPriority w:val="0"/>
    <w:pPr>
      <w:spacing w:beforeLines="50" w:afterLines="50" w:line="360" w:lineRule="auto"/>
      <w:jc w:val="center"/>
      <w:outlineLvl w:val="3"/>
    </w:pPr>
    <w:rPr>
      <w:rFonts w:ascii="Arial" w:hAnsi="Arial"/>
      <w:b w:val="0"/>
      <w:bCs w:val="0"/>
      <w:color w:val="000000"/>
      <w:sz w:val="24"/>
      <w:szCs w:val="24"/>
    </w:rPr>
  </w:style>
  <w:style w:type="character" w:default="1" w:styleId="19">
    <w:name w:val="Default Paragraph Font"/>
    <w:semiHidden/>
    <w:qFormat/>
    <w:uiPriority w:val="0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7">
    <w:name w:val="Normal Indent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8">
    <w:name w:val="annotation text"/>
    <w:basedOn w:val="1"/>
    <w:unhideWhenUsed/>
    <w:qFormat/>
    <w:uiPriority w:val="0"/>
    <w:pPr>
      <w:jc w:val="left"/>
    </w:pPr>
  </w:style>
  <w:style w:type="paragraph" w:styleId="9">
    <w:name w:val="Body Text"/>
    <w:basedOn w:val="10"/>
    <w:next w:val="10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10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1">
    <w:name w:val="Body Text Indent"/>
    <w:qFormat/>
    <w:uiPriority w:val="0"/>
    <w:pPr>
      <w:widowControl w:val="0"/>
      <w:adjustRightInd w:val="0"/>
      <w:spacing w:line="360" w:lineRule="auto"/>
      <w:ind w:firstLine="600"/>
      <w:textAlignment w:val="baseline"/>
    </w:pPr>
    <w:rPr>
      <w:rFonts w:ascii="Times New Roman" w:hAnsi="Times New Roman" w:eastAsia="宋体" w:cs="Times New Roman"/>
      <w:color w:val="000000"/>
      <w:sz w:val="28"/>
      <w:lang w:val="en-US" w:eastAsia="zh-CN" w:bidi="ar-SA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toc 1"/>
    <w:basedOn w:val="1"/>
    <w:next w:val="1"/>
    <w:qFormat/>
    <w:uiPriority w:val="39"/>
    <w:pPr>
      <w:spacing w:beforeLines="50"/>
    </w:pPr>
    <w:rPr>
      <w:rFonts w:ascii="Times New Roman" w:hAnsi="Times New Roman" w:eastAsia="宋体" w:cs="Times New Roman"/>
      <w:szCs w:val="20"/>
    </w:rPr>
  </w:style>
  <w:style w:type="paragraph" w:styleId="15">
    <w:name w:val="toc 2"/>
    <w:basedOn w:val="1"/>
    <w:next w:val="1"/>
    <w:qFormat/>
    <w:uiPriority w:val="39"/>
    <w:pPr>
      <w:spacing w:beforeLines="50"/>
      <w:ind w:left="210"/>
    </w:pPr>
    <w:rPr>
      <w:rFonts w:ascii="Times New Roman" w:hAnsi="Times New Roman" w:eastAsia="宋体" w:cs="Times New Roman"/>
      <w:szCs w:val="20"/>
    </w:rPr>
  </w:style>
  <w:style w:type="paragraph" w:styleId="16">
    <w:name w:val="Normal (Web)"/>
    <w:basedOn w:val="1"/>
    <w:qFormat/>
    <w:uiPriority w:val="99"/>
    <w:pPr>
      <w:widowControl/>
      <w:spacing w:before="100" w:beforeAutospacing="1" w:after="100" w:afterAutospacing="1" w:line="360" w:lineRule="auto"/>
      <w:ind w:firstLine="200" w:firstLineChars="200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Hyperlink"/>
    <w:qFormat/>
    <w:uiPriority w:val="99"/>
    <w:rPr>
      <w:color w:val="0000FF"/>
      <w:u w:val="single"/>
    </w:rPr>
  </w:style>
  <w:style w:type="character" w:styleId="22">
    <w:name w:val="annotation reference"/>
    <w:qFormat/>
    <w:uiPriority w:val="0"/>
    <w:rPr>
      <w:sz w:val="21"/>
      <w:szCs w:val="21"/>
    </w:rPr>
  </w:style>
  <w:style w:type="paragraph" w:customStyle="1" w:styleId="23">
    <w:name w:val="正文（首行缩进2字符）"/>
    <w:basedOn w:val="1"/>
    <w:qFormat/>
    <w:uiPriority w:val="0"/>
    <w:pPr>
      <w:topLinePunct/>
      <w:spacing w:line="360" w:lineRule="auto"/>
      <w:ind w:firstLine="200" w:firstLineChars="200"/>
    </w:pPr>
    <w:rPr>
      <w:rFonts w:cs="宋体"/>
      <w:sz w:val="28"/>
      <w:szCs w:val="28"/>
    </w:rPr>
  </w:style>
  <w:style w:type="table" w:customStyle="1" w:styleId="24">
    <w:name w:val="网格型31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">
    <w:name w:val="网格型6"/>
    <w:basedOn w:val="1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">
    <w:name w:val="正文西部变电站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27">
    <w:name w:val="00正文"/>
    <w:basedOn w:val="28"/>
    <w:qFormat/>
    <w:uiPriority w:val="0"/>
    <w:pPr>
      <w:ind w:firstLine="480"/>
    </w:pPr>
    <w:rPr>
      <w:rFonts w:cs="宋体"/>
    </w:rPr>
  </w:style>
  <w:style w:type="paragraph" w:customStyle="1" w:styleId="28">
    <w:name w:val="0正文"/>
    <w:basedOn w:val="1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Times New Roman" w:hAnsi="Times New Roman" w:eastAsia="宋体" w:cs="Times New Roman"/>
      <w:color w:val="000000"/>
      <w:kern w:val="0"/>
      <w:sz w:val="24"/>
      <w:szCs w:val="24"/>
    </w:rPr>
  </w:style>
  <w:style w:type="paragraph" w:styleId="29">
    <w:name w:val="List Paragraph"/>
    <w:basedOn w:val="1"/>
    <w:qFormat/>
    <w:uiPriority w:val="34"/>
    <w:pPr>
      <w:spacing w:line="360" w:lineRule="auto"/>
      <w:ind w:firstLine="420" w:firstLineChars="200"/>
    </w:pPr>
    <w:rPr>
      <w:rFonts w:ascii="Calibri" w:hAnsi="Calibri" w:eastAsia="宋体" w:cs="Times New Roman"/>
    </w:rPr>
  </w:style>
  <w:style w:type="table" w:customStyle="1" w:styleId="30">
    <w:name w:val="网格型3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1">
    <w:name w:val="font21"/>
    <w:qFormat/>
    <w:uiPriority w:val="0"/>
    <w:rPr>
      <w:rFonts w:hint="eastAsia" w:ascii="宋体" w:hAnsi="宋体" w:eastAsia="宋体"/>
      <w:color w:val="000000"/>
      <w:sz w:val="20"/>
      <w:szCs w:val="20"/>
      <w:u w:val="none"/>
    </w:rPr>
  </w:style>
  <w:style w:type="paragraph" w:customStyle="1" w:styleId="32">
    <w:name w:val="11444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80" w:after="80" w:line="520" w:lineRule="atLeast"/>
      <w:jc w:val="center"/>
      <w:textAlignment w:val="baseline"/>
    </w:pPr>
    <w:rPr>
      <w:rFonts w:ascii="华文楷体" w:hAnsi="华文楷体" w:eastAsia="华文楷体" w:cs="Times New Roman"/>
      <w:b/>
      <w:snapToGrid w:val="0"/>
      <w:color w:val="000000" w:themeColor="text1"/>
      <w:kern w:val="0"/>
      <w:sz w:val="28"/>
      <w:szCs w:val="28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1751</Words>
  <Characters>1912</Characters>
  <Lines>0</Lines>
  <Paragraphs>0</Paragraphs>
  <TotalTime>0</TotalTime>
  <ScaleCrop>false</ScaleCrop>
  <LinksUpToDate>false</LinksUpToDate>
  <CharactersWithSpaces>1920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2021-02-24T07:31:00Z</dcterms:created>
  <dc:creator>weixy</dc:creator>
  <cp:lastModifiedBy>杨莉</cp:lastModifiedBy>
  <dcterms:modified xsi:type="dcterms:W3CDTF">2025-09-30T09:57:34Z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B7E2C69F81D746E394D38A98C2AF5BFC_13</vt:lpwstr>
  </property>
  <property fmtid="{D5CDD505-2E9C-101B-9397-08002B2CF9AE}" pid="4" name="KSOTemplateDocerSaveRecord">
    <vt:lpwstr>eyJoZGlkIjoiOTk1ZGY1MzhjNTMwNmJhYzA2YTUwZDRlOWVhOTQxM2QiLCJ1c2VySWQiOiIyOTAwNTQ0NTAifQ==</vt:lpwstr>
  </property>
</Properties>
</file>