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A9EA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标的1.220千伏白鹅潭输变电工程（第一分册）代建服务项目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）</w:t>
      </w:r>
    </w:p>
    <w:bookmarkEnd w:id="0"/>
    <w:p w14:paraId="18C4A0F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 w14:paraId="53114A3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2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 w14:paraId="3AFB0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 w14:paraId="6D917622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 w14:paraId="0E5E83C3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 w14:paraId="3247B74F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 w14:paraId="0F3C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exact"/>
          <w:jc w:val="center"/>
        </w:trPr>
        <w:tc>
          <w:tcPr>
            <w:tcW w:w="776" w:type="dxa"/>
            <w:noWrap w:val="0"/>
            <w:vAlign w:val="center"/>
          </w:tcPr>
          <w:p w14:paraId="0399A7D6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 w14:paraId="672CB7D8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可研批复(项目立项)文号</w:t>
            </w:r>
          </w:p>
        </w:tc>
        <w:tc>
          <w:tcPr>
            <w:tcW w:w="5250" w:type="dxa"/>
            <w:noWrap w:val="0"/>
            <w:vAlign w:val="center"/>
          </w:tcPr>
          <w:p w14:paraId="54EED454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广供电基〔2025〕17号、</w:t>
            </w:r>
          </w:p>
          <w:p w14:paraId="383A19B2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穗发改核准〔2025〕11号</w:t>
            </w:r>
          </w:p>
        </w:tc>
      </w:tr>
      <w:tr w14:paraId="141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6390D61A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 w14:paraId="764C6CBD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 w14:paraId="0C969DDA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广供电资〔20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25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〕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26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 xml:space="preserve"> 号</w:t>
            </w:r>
          </w:p>
        </w:tc>
      </w:tr>
      <w:tr w14:paraId="3993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64BE473B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 w14:paraId="5AFDB1B9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 w14:paraId="1B197811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 w14:paraId="7C4B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04DE796B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 w14:paraId="699784F4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 w14:paraId="1A3B19F5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广州市荔湾区</w:t>
            </w:r>
          </w:p>
        </w:tc>
      </w:tr>
      <w:tr w14:paraId="4469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776" w:type="dxa"/>
            <w:noWrap w:val="0"/>
            <w:vAlign w:val="center"/>
          </w:tcPr>
          <w:p w14:paraId="755E94DC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 w14:paraId="12D631AE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250" w:type="dxa"/>
            <w:noWrap w:val="0"/>
            <w:vAlign w:val="center"/>
          </w:tcPr>
          <w:p w14:paraId="449ED81C"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合同签订之日起720日历天，实际服务期以委托函上载明的时间为准。</w:t>
            </w:r>
          </w:p>
        </w:tc>
      </w:tr>
    </w:tbl>
    <w:p w14:paraId="6EAE8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3185CC6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</w:rPr>
        <w:t>※隧道工程</w:t>
      </w:r>
    </w:p>
    <w:p w14:paraId="12DF8E36">
      <w:pPr>
        <w:pStyle w:val="14"/>
        <w:ind w:left="0" w:leftChars="0" w:firstLine="480" w:firstLineChars="200"/>
        <w:rPr>
          <w:rFonts w:hint="eastAsia" w:ascii="Calibri" w:hAnsi="宋体" w:eastAsia="宋体" w:cs="Times New Roman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Calibri" w:hAnsi="宋体" w:eastAsia="宋体" w:cs="Times New Roman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电力隧道隧道全长约5.08km（包含工作井长度），全线设置7个井。其中楚庭站连接段长度约437.152m，采用明挖法施工；楚庭站外段新建电力隧道长度约为4.646km（包含工作井长度），其中盾构法长度约3580.0m，顶管法长度约145.3m，明挖法长度约817.5m（不包含工作井长度）。本工程5.08km电力隧道配置风水电、支架、监控及巡检机器人系统。</w:t>
      </w:r>
    </w:p>
    <w:p w14:paraId="2355A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 w14:paraId="72EB5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480" w:firstLineChars="200"/>
        <w:textAlignment w:val="auto"/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从项目</w:t>
      </w:r>
      <w:r>
        <w:rPr>
          <w:rFonts w:hint="eastAsia" w:hAnsi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初步</w:t>
      </w:r>
      <w:r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设计开始至项目竣工验收、工程结算、竣工财务决算、移交和保修期结束之日止的建设统筹管理，在项目实施阶段，进行设计管理、招标管理、采购管理、施工管理、投资控制和竣工验收等工作（包括项目实施过程中可能出现的因规模及费用变更而导致的可研、初设调整工作），并对工程项目进行安全、质量、进度、投资、合同、信息等方面的全面管理和控制，直到办理竣工验收手续、工程结算和竣工财务决算、资产移交建设单位实施过程的建设管理工作及各种</w:t>
      </w:r>
      <w:r>
        <w:rPr>
          <w:rFonts w:hint="eastAsia" w:hAnsi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建设、施工</w:t>
      </w:r>
      <w:r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手续的</w:t>
      </w:r>
      <w:r>
        <w:rPr>
          <w:rFonts w:hint="eastAsia" w:hAnsi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办理</w:t>
      </w:r>
      <w:r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工作。</w:t>
      </w:r>
    </w:p>
    <w:p w14:paraId="32B661A2">
      <w:pPr>
        <w:rPr>
          <w:rFonts w:hint="eastAsia"/>
          <w:lang w:val="en-US" w:eastAsia="zh-CN"/>
        </w:rPr>
      </w:pPr>
    </w:p>
    <w:p w14:paraId="7EA0EA12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三、报价表及报价要求</w:t>
      </w:r>
    </w:p>
    <w:p w14:paraId="19417C44"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highlight w:val="none"/>
          <w:lang w:val="en-US" w:eastAsia="zh-CN"/>
        </w:rPr>
      </w:pPr>
    </w:p>
    <w:tbl>
      <w:tblPr>
        <w:tblStyle w:val="11"/>
        <w:tblpPr w:leftFromText="180" w:rightFromText="180" w:vertAnchor="text" w:horzAnchor="page" w:tblpXSpec="center" w:tblpY="653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681"/>
        <w:gridCol w:w="1817"/>
        <w:gridCol w:w="1235"/>
        <w:gridCol w:w="1864"/>
        <w:gridCol w:w="1357"/>
      </w:tblGrid>
      <w:tr w14:paraId="5864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08" w:type="dxa"/>
            <w:tcBorders>
              <w:bottom w:val="single" w:color="auto" w:sz="4" w:space="0"/>
            </w:tcBorders>
            <w:noWrap w:val="0"/>
            <w:vAlign w:val="center"/>
          </w:tcPr>
          <w:p w14:paraId="686830C2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681" w:type="dxa"/>
            <w:tcBorders>
              <w:bottom w:val="single" w:color="auto" w:sz="4" w:space="0"/>
            </w:tcBorders>
            <w:noWrap w:val="0"/>
            <w:vAlign w:val="center"/>
          </w:tcPr>
          <w:p w14:paraId="2FF3511D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817" w:type="dxa"/>
            <w:noWrap w:val="0"/>
            <w:vAlign w:val="top"/>
          </w:tcPr>
          <w:p w14:paraId="7E8E747E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235" w:type="dxa"/>
            <w:tcBorders>
              <w:bottom w:val="single" w:color="auto" w:sz="4" w:space="0"/>
            </w:tcBorders>
            <w:noWrap w:val="0"/>
            <w:vAlign w:val="center"/>
          </w:tcPr>
          <w:p w14:paraId="232EBC3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864" w:type="dxa"/>
            <w:tcBorders>
              <w:bottom w:val="single" w:color="auto" w:sz="4" w:space="0"/>
            </w:tcBorders>
            <w:noWrap w:val="0"/>
            <w:vAlign w:val="top"/>
          </w:tcPr>
          <w:p w14:paraId="15F51D26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 w14:paraId="14AD3044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43CBD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3DD0D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1</w:t>
            </w:r>
          </w:p>
        </w:tc>
        <w:tc>
          <w:tcPr>
            <w:tcW w:w="268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261A1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220千伏白鹅潭输变电工程（第一分册）代建服务项目</w:t>
            </w:r>
          </w:p>
        </w:tc>
        <w:tc>
          <w:tcPr>
            <w:tcW w:w="1817" w:type="dxa"/>
            <w:noWrap w:val="0"/>
            <w:vAlign w:val="center"/>
          </w:tcPr>
          <w:p w14:paraId="79EDE66D"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4766944.02</w:t>
            </w:r>
          </w:p>
        </w:tc>
        <w:tc>
          <w:tcPr>
            <w:tcW w:w="1235" w:type="dxa"/>
            <w:tcBorders>
              <w:top w:val="single" w:color="auto" w:sz="4" w:space="0"/>
            </w:tcBorders>
            <w:noWrap w:val="0"/>
            <w:vAlign w:val="center"/>
          </w:tcPr>
          <w:p w14:paraId="36C3345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 w:val="0"/>
                <w:bCs/>
                <w:color w:val="auto"/>
                <w:highlight w:val="none"/>
                <w:lang w:val="en-US" w:eastAsia="zh-CN"/>
              </w:rPr>
              <w:t>%</w:t>
            </w:r>
          </w:p>
        </w:tc>
        <w:tc>
          <w:tcPr>
            <w:tcW w:w="1864" w:type="dxa"/>
            <w:tcBorders>
              <w:top w:val="single" w:color="auto" w:sz="4" w:space="0"/>
            </w:tcBorders>
            <w:noWrap w:val="0"/>
            <w:vAlign w:val="center"/>
          </w:tcPr>
          <w:p w14:paraId="6BACE6B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845C5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1C89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1D8E1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合计（小写）：</w:t>
            </w:r>
          </w:p>
        </w:tc>
        <w:tc>
          <w:tcPr>
            <w:tcW w:w="1817" w:type="dxa"/>
            <w:noWrap w:val="0"/>
            <w:vAlign w:val="center"/>
          </w:tcPr>
          <w:p w14:paraId="2BC6CE87"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4766944.02</w:t>
            </w:r>
          </w:p>
        </w:tc>
        <w:tc>
          <w:tcPr>
            <w:tcW w:w="1235" w:type="dxa"/>
            <w:tcBorders>
              <w:top w:val="single" w:color="auto" w:sz="4" w:space="0"/>
            </w:tcBorders>
            <w:noWrap w:val="0"/>
            <w:vAlign w:val="center"/>
          </w:tcPr>
          <w:p w14:paraId="7FFF16C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864" w:type="dxa"/>
            <w:tcBorders>
              <w:top w:val="single" w:color="auto" w:sz="4" w:space="0"/>
            </w:tcBorders>
            <w:noWrap w:val="0"/>
            <w:vAlign w:val="center"/>
          </w:tcPr>
          <w:p w14:paraId="38FA8C8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B32CD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772B8325">
      <w:pPr>
        <w:pStyle w:val="7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3EDD8E9D">
      <w:pPr>
        <w:pStyle w:val="7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278E67CA">
      <w:pPr>
        <w:pStyle w:val="7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6BCAF78">
      <w:pPr>
        <w:pStyle w:val="7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 w14:paraId="690B1FAA">
      <w:pPr>
        <w:pStyle w:val="8"/>
        <w:ind w:firstLine="481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1.按固定金额报总价，同时填报投标下浮率。投标下浮率＝[1－(投标报价/最高投标限价）×100%（保留两位小数，如：8.88%）。当投标报价金额与投标下浮率计算结果不一致时，以投标报价金额为准，按公式修正投标下浮率。</w:t>
      </w:r>
    </w:p>
    <w:p w14:paraId="3F539647">
      <w:pPr>
        <w:pStyle w:val="8"/>
        <w:ind w:firstLine="481"/>
        <w:jc w:val="left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2.报价低于最高限价85%的需提供成本分析报告。成本分析报告需充分说明单价和费用的组成、降低成本的合理措施及在其他工程中应用过的经验等，经评审通过后方可视为有效报价。</w:t>
      </w:r>
    </w:p>
    <w:p w14:paraId="1D95F695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 w14:paraId="7A1F4234">
      <w:pPr>
        <w:pStyle w:val="8"/>
        <w:shd w:val="clear" w:color="auto" w:fill="auto"/>
        <w:ind w:firstLine="481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本合同为固定总价合同，总价包干。</w:t>
      </w:r>
    </w:p>
    <w:p w14:paraId="12E5C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 w14:paraId="02661B46"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 w14:paraId="7A95F181">
      <w:pPr>
        <w:pStyle w:val="10"/>
        <w:numPr>
          <w:ilvl w:val="0"/>
          <w:numId w:val="0"/>
        </w:num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 w14:paraId="6B7A01C1"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br w:type="page"/>
      </w:r>
    </w:p>
    <w:p w14:paraId="58AE7749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 w14:paraId="304EA38C"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 w14:paraId="73BE31FB">
      <w:pPr>
        <w:pStyle w:val="2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 w14:paraId="7310F612"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 w14:paraId="444B6FBF"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39817F2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 w14:paraId="5AE21BAE">
      <w:pPr>
        <w:rPr>
          <w:rFonts w:hint="eastAsia"/>
          <w:lang w:val="en-US" w:eastAsia="zh-CN"/>
        </w:rPr>
      </w:pPr>
    </w:p>
    <w:p w14:paraId="10A0924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vertAlign w:val="baseline"/>
          <w:lang w:val="en-US" w:eastAsia="zh-CN"/>
        </w:rPr>
      </w:pPr>
    </w:p>
    <w:p w14:paraId="130FF2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1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iZmQ5Njc4ZjAwYjM1NjkwYjZiNWI5MzBhMWIzZjUifQ=="/>
  </w:docVars>
  <w:rsids>
    <w:rsidRoot w:val="24F737D8"/>
    <w:rsid w:val="001270A5"/>
    <w:rsid w:val="007A4AD7"/>
    <w:rsid w:val="01D3030E"/>
    <w:rsid w:val="04A24F71"/>
    <w:rsid w:val="067415D1"/>
    <w:rsid w:val="07123693"/>
    <w:rsid w:val="076F3B3B"/>
    <w:rsid w:val="07BA4E3B"/>
    <w:rsid w:val="07CA37DF"/>
    <w:rsid w:val="0A21302B"/>
    <w:rsid w:val="0AC63EF6"/>
    <w:rsid w:val="0B4D2E4A"/>
    <w:rsid w:val="0B624CBC"/>
    <w:rsid w:val="0BC07002"/>
    <w:rsid w:val="0E2F4C02"/>
    <w:rsid w:val="0E3616E0"/>
    <w:rsid w:val="0E394169"/>
    <w:rsid w:val="0F81532F"/>
    <w:rsid w:val="107144D2"/>
    <w:rsid w:val="116419AD"/>
    <w:rsid w:val="11C0052E"/>
    <w:rsid w:val="11DF6CFE"/>
    <w:rsid w:val="12422FD5"/>
    <w:rsid w:val="1264323B"/>
    <w:rsid w:val="13383335"/>
    <w:rsid w:val="13C368DE"/>
    <w:rsid w:val="14440D4B"/>
    <w:rsid w:val="14781EB9"/>
    <w:rsid w:val="14B666F3"/>
    <w:rsid w:val="15056A61"/>
    <w:rsid w:val="16827842"/>
    <w:rsid w:val="17722603"/>
    <w:rsid w:val="1887214B"/>
    <w:rsid w:val="18E57496"/>
    <w:rsid w:val="1A386933"/>
    <w:rsid w:val="1A4F176B"/>
    <w:rsid w:val="1B663F82"/>
    <w:rsid w:val="1C2D4629"/>
    <w:rsid w:val="1C43636C"/>
    <w:rsid w:val="1C8618B6"/>
    <w:rsid w:val="1C885EDE"/>
    <w:rsid w:val="1D904223"/>
    <w:rsid w:val="1F653C49"/>
    <w:rsid w:val="1FF914D4"/>
    <w:rsid w:val="20735046"/>
    <w:rsid w:val="216F4D5B"/>
    <w:rsid w:val="21750046"/>
    <w:rsid w:val="21C11DC8"/>
    <w:rsid w:val="22837B29"/>
    <w:rsid w:val="23B738BA"/>
    <w:rsid w:val="2465144A"/>
    <w:rsid w:val="24E67795"/>
    <w:rsid w:val="24F737D8"/>
    <w:rsid w:val="2525523D"/>
    <w:rsid w:val="25300011"/>
    <w:rsid w:val="26EB3B6A"/>
    <w:rsid w:val="291D5E51"/>
    <w:rsid w:val="2A1B1DA5"/>
    <w:rsid w:val="2ADD3A5F"/>
    <w:rsid w:val="2BE07E0A"/>
    <w:rsid w:val="2CA17C08"/>
    <w:rsid w:val="2DD56F1C"/>
    <w:rsid w:val="2DDF66E3"/>
    <w:rsid w:val="2FF65FF8"/>
    <w:rsid w:val="300D195C"/>
    <w:rsid w:val="30BF37B5"/>
    <w:rsid w:val="30F328FD"/>
    <w:rsid w:val="313B0851"/>
    <w:rsid w:val="31C955A9"/>
    <w:rsid w:val="323F587B"/>
    <w:rsid w:val="32636CB1"/>
    <w:rsid w:val="33B200AF"/>
    <w:rsid w:val="33C004B6"/>
    <w:rsid w:val="33C75702"/>
    <w:rsid w:val="33E61BE2"/>
    <w:rsid w:val="34CB6A7A"/>
    <w:rsid w:val="361736AD"/>
    <w:rsid w:val="36D200CF"/>
    <w:rsid w:val="379951F8"/>
    <w:rsid w:val="38382DC3"/>
    <w:rsid w:val="38DE045C"/>
    <w:rsid w:val="3987396D"/>
    <w:rsid w:val="3A394391"/>
    <w:rsid w:val="3ADE1F9F"/>
    <w:rsid w:val="3B595AEE"/>
    <w:rsid w:val="3BF24D81"/>
    <w:rsid w:val="3BFE7BEA"/>
    <w:rsid w:val="3C4750A3"/>
    <w:rsid w:val="3C4A35F1"/>
    <w:rsid w:val="40DD4ABF"/>
    <w:rsid w:val="41276809"/>
    <w:rsid w:val="41FF27E6"/>
    <w:rsid w:val="420455E6"/>
    <w:rsid w:val="42E73C50"/>
    <w:rsid w:val="44007FA0"/>
    <w:rsid w:val="445B0D21"/>
    <w:rsid w:val="44982260"/>
    <w:rsid w:val="44D414C9"/>
    <w:rsid w:val="46472D5E"/>
    <w:rsid w:val="47710D74"/>
    <w:rsid w:val="48EF5AD4"/>
    <w:rsid w:val="496A657E"/>
    <w:rsid w:val="49843C09"/>
    <w:rsid w:val="49B91689"/>
    <w:rsid w:val="4A482C62"/>
    <w:rsid w:val="4A662E1D"/>
    <w:rsid w:val="4B3A1BDA"/>
    <w:rsid w:val="4BF83760"/>
    <w:rsid w:val="4C5B4768"/>
    <w:rsid w:val="4C8349B8"/>
    <w:rsid w:val="4E287FC5"/>
    <w:rsid w:val="4F913533"/>
    <w:rsid w:val="4FD90747"/>
    <w:rsid w:val="504766FD"/>
    <w:rsid w:val="50FC7694"/>
    <w:rsid w:val="52301165"/>
    <w:rsid w:val="540211DE"/>
    <w:rsid w:val="551408A9"/>
    <w:rsid w:val="552A0C96"/>
    <w:rsid w:val="55BB16B6"/>
    <w:rsid w:val="55C3156A"/>
    <w:rsid w:val="560A4CB8"/>
    <w:rsid w:val="5782183A"/>
    <w:rsid w:val="57BD355E"/>
    <w:rsid w:val="58D21C48"/>
    <w:rsid w:val="59310566"/>
    <w:rsid w:val="5B0320E2"/>
    <w:rsid w:val="5B853CEE"/>
    <w:rsid w:val="5B8B11A7"/>
    <w:rsid w:val="5B9E2EC4"/>
    <w:rsid w:val="5BE26520"/>
    <w:rsid w:val="5CD10D7E"/>
    <w:rsid w:val="5EA60D4B"/>
    <w:rsid w:val="60002310"/>
    <w:rsid w:val="608606DE"/>
    <w:rsid w:val="610E324A"/>
    <w:rsid w:val="61F31EFD"/>
    <w:rsid w:val="62CE5926"/>
    <w:rsid w:val="62E62FCC"/>
    <w:rsid w:val="63066BC7"/>
    <w:rsid w:val="631B2B6B"/>
    <w:rsid w:val="63D0487B"/>
    <w:rsid w:val="64672037"/>
    <w:rsid w:val="64911DA0"/>
    <w:rsid w:val="65945D8D"/>
    <w:rsid w:val="66C35559"/>
    <w:rsid w:val="6799018B"/>
    <w:rsid w:val="67D57489"/>
    <w:rsid w:val="68570F93"/>
    <w:rsid w:val="6A287B5E"/>
    <w:rsid w:val="6B303A1A"/>
    <w:rsid w:val="6C704794"/>
    <w:rsid w:val="6CAD6BDB"/>
    <w:rsid w:val="6CDE6E55"/>
    <w:rsid w:val="6D212793"/>
    <w:rsid w:val="6D4338E2"/>
    <w:rsid w:val="6DAA2FDF"/>
    <w:rsid w:val="6DB61A1E"/>
    <w:rsid w:val="6DF95579"/>
    <w:rsid w:val="6E121228"/>
    <w:rsid w:val="707120B4"/>
    <w:rsid w:val="709014CD"/>
    <w:rsid w:val="70D1495F"/>
    <w:rsid w:val="70ED510D"/>
    <w:rsid w:val="712F63C0"/>
    <w:rsid w:val="720D17E7"/>
    <w:rsid w:val="72717CD1"/>
    <w:rsid w:val="72C02D48"/>
    <w:rsid w:val="743E1546"/>
    <w:rsid w:val="74614F7E"/>
    <w:rsid w:val="74695E39"/>
    <w:rsid w:val="754C6F3B"/>
    <w:rsid w:val="75B11AFF"/>
    <w:rsid w:val="75D32619"/>
    <w:rsid w:val="768D126A"/>
    <w:rsid w:val="780B6A75"/>
    <w:rsid w:val="781447B5"/>
    <w:rsid w:val="79F83E18"/>
    <w:rsid w:val="7CC21E99"/>
    <w:rsid w:val="7CED7DC5"/>
    <w:rsid w:val="7D0F76D8"/>
    <w:rsid w:val="7E3420E0"/>
    <w:rsid w:val="7E451036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Body Text First Indent"/>
    <w:basedOn w:val="7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1096</Words>
  <Characters>1184</Characters>
  <Lines>0</Lines>
  <Paragraphs>0</Paragraphs>
  <TotalTime>1</TotalTime>
  <ScaleCrop>false</ScaleCrop>
  <LinksUpToDate>false</LinksUpToDate>
  <CharactersWithSpaces>1354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马骏安</cp:lastModifiedBy>
  <dcterms:modified xsi:type="dcterms:W3CDTF">2025-07-30T03:26:43Z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EDF1AA3B88D44F0F8FEC517A4732750F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