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9A69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附件A.项目信息清单（标的2.基于AI遥感的城市复杂架空输电线路机械化施工智能优化研究与应用）</w:t>
      </w:r>
    </w:p>
    <w:bookmarkEnd w:id="0"/>
    <w:p w14:paraId="343D993E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 w14:paraId="37650E8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4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 w14:paraId="29BA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 w14:paraId="33E08069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 w14:paraId="0194FB7B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 w14:paraId="03E896DB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 w14:paraId="411FC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776" w:type="dxa"/>
            <w:noWrap w:val="0"/>
            <w:vAlign w:val="center"/>
          </w:tcPr>
          <w:p w14:paraId="041B04C2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 w14:paraId="0D9BCE56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项目立项(可研批复)文号</w:t>
            </w:r>
          </w:p>
        </w:tc>
        <w:tc>
          <w:tcPr>
            <w:tcW w:w="5250" w:type="dxa"/>
            <w:noWrap w:val="0"/>
            <w:vAlign w:val="center"/>
          </w:tcPr>
          <w:p w14:paraId="75C4C181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南方电网规划〔2024〕113号</w:t>
            </w:r>
          </w:p>
        </w:tc>
      </w:tr>
      <w:tr w14:paraId="2B21F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776" w:type="dxa"/>
            <w:noWrap w:val="0"/>
            <w:vAlign w:val="center"/>
          </w:tcPr>
          <w:p w14:paraId="5EB4E35B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 w14:paraId="1CEC0DAF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 w14:paraId="639C4712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广供电资〔2025〕3号</w:t>
            </w:r>
          </w:p>
        </w:tc>
      </w:tr>
      <w:tr w14:paraId="2A89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776" w:type="dxa"/>
            <w:noWrap w:val="0"/>
            <w:vAlign w:val="center"/>
          </w:tcPr>
          <w:p w14:paraId="5E8DBCD7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 w14:paraId="162B9C86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初设批复文号</w:t>
            </w:r>
          </w:p>
        </w:tc>
        <w:tc>
          <w:tcPr>
            <w:tcW w:w="5250" w:type="dxa"/>
            <w:noWrap w:val="0"/>
            <w:vAlign w:val="center"/>
          </w:tcPr>
          <w:p w14:paraId="637005BF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南方电网输配电〔2025〕41号</w:t>
            </w:r>
          </w:p>
        </w:tc>
      </w:tr>
      <w:tr w14:paraId="719ED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3D70204C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 w14:paraId="4F692D59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250" w:type="dxa"/>
            <w:noWrap w:val="0"/>
            <w:vAlign w:val="center"/>
          </w:tcPr>
          <w:p w14:paraId="5D98F495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 w14:paraId="17A8A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46E53EEA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 w14:paraId="6DAFFB1D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 w14:paraId="700C6750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广州市番禺区</w:t>
            </w:r>
          </w:p>
        </w:tc>
      </w:tr>
      <w:tr w14:paraId="0D295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exact"/>
          <w:jc w:val="center"/>
        </w:trPr>
        <w:tc>
          <w:tcPr>
            <w:tcW w:w="776" w:type="dxa"/>
            <w:noWrap w:val="0"/>
            <w:vAlign w:val="center"/>
          </w:tcPr>
          <w:p w14:paraId="552D36AA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783" w:type="dxa"/>
            <w:noWrap w:val="0"/>
            <w:vAlign w:val="center"/>
          </w:tcPr>
          <w:p w14:paraId="3F7D2100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</w:t>
            </w:r>
          </w:p>
        </w:tc>
        <w:tc>
          <w:tcPr>
            <w:tcW w:w="5250" w:type="dxa"/>
            <w:noWrap w:val="0"/>
            <w:vAlign w:val="center"/>
          </w:tcPr>
          <w:p w14:paraId="1742467A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合同签订之日起至2026年12月30日，实际服务期以委托函上载明的时间为准。</w:t>
            </w:r>
          </w:p>
        </w:tc>
      </w:tr>
    </w:tbl>
    <w:p w14:paraId="17F8C8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 w14:paraId="5BC0671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none"/>
          <w:lang w:val="en-US" w:eastAsia="zh-CN"/>
        </w:rPr>
        <w:t>本项目以500千伏楚庭第二电源通道工程为依托，本项目主要涵盖基于AI识别技术的遥感影像地物自动识别技术、施工临时工程量自动统计技术、基于遥感影像的机械化施工临时道路方案优化比选、机械化施工器械进场方案优化等研究。包括但不限于：遥感影像地物识别研究、施工工程量统计、临时道路比选研究、研究报告、导则、专利申请及论文撰写的协助。</w:t>
      </w:r>
    </w:p>
    <w:p w14:paraId="0A189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 w14:paraId="3B0252D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  <w:highlight w:val="none"/>
          <w:u w:val="single"/>
          <w:lang w:val="en-US" w:eastAsia="zh-CN" w:bidi="ar-SA"/>
        </w:rPr>
        <w:t>基于AI遥感的城市复杂架空输电线路机械化施工智能优化研究与应用：本项目主要涵盖基于AI识别技术的遥感影像地物自动识别技术、施工临时工程量自动统计技术、基于遥感影像的机械化施工临时道路方案优化比选、机械化施工器械进场方案优化等研究。包括但不限于：遥感影像地物识别研究、施工工程量统计、临时道路比选研究、研究报告、导则、专利申请及论文撰写的协助。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         </w:t>
      </w:r>
    </w:p>
    <w:p w14:paraId="536B73D4">
      <w:pPr>
        <w:pStyle w:val="10"/>
        <w:rPr>
          <w:rFonts w:hint="eastAsia"/>
          <w:b w:val="0"/>
          <w:bCs w:val="0"/>
          <w:lang w:val="en-US" w:eastAsia="zh-CN"/>
        </w:rPr>
      </w:pPr>
    </w:p>
    <w:p w14:paraId="26F6E596"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报价表及报价要求</w:t>
      </w:r>
    </w:p>
    <w:p w14:paraId="0BFC5EBC"/>
    <w:tbl>
      <w:tblPr>
        <w:tblStyle w:val="13"/>
        <w:tblpPr w:leftFromText="180" w:rightFromText="180" w:vertAnchor="text" w:horzAnchor="page" w:tblpX="1393" w:tblpY="93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3063"/>
        <w:gridCol w:w="1817"/>
        <w:gridCol w:w="1461"/>
        <w:gridCol w:w="1638"/>
        <w:gridCol w:w="1357"/>
      </w:tblGrid>
      <w:tr w14:paraId="637E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  <w:jc w:val="center"/>
        </w:trPr>
        <w:tc>
          <w:tcPr>
            <w:tcW w:w="626" w:type="dxa"/>
            <w:tcBorders>
              <w:bottom w:val="single" w:color="auto" w:sz="4" w:space="0"/>
            </w:tcBorders>
            <w:noWrap w:val="0"/>
            <w:vAlign w:val="center"/>
          </w:tcPr>
          <w:p w14:paraId="04253AB7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063" w:type="dxa"/>
            <w:tcBorders>
              <w:bottom w:val="single" w:color="auto" w:sz="4" w:space="0"/>
            </w:tcBorders>
            <w:noWrap w:val="0"/>
            <w:vAlign w:val="center"/>
          </w:tcPr>
          <w:p w14:paraId="53E54BF0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17" w:type="dxa"/>
            <w:noWrap w:val="0"/>
            <w:vAlign w:val="top"/>
          </w:tcPr>
          <w:p w14:paraId="51A7B61F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最高投标限价</w:t>
            </w:r>
          </w:p>
          <w:p w14:paraId="0B8A142C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vAlign w:val="center"/>
          </w:tcPr>
          <w:p w14:paraId="0FEE02D3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投标下浮率</w:t>
            </w:r>
          </w:p>
        </w:tc>
        <w:tc>
          <w:tcPr>
            <w:tcW w:w="1638" w:type="dxa"/>
            <w:tcBorders>
              <w:bottom w:val="single" w:color="auto" w:sz="4" w:space="0"/>
            </w:tcBorders>
            <w:noWrap w:val="0"/>
            <w:vAlign w:val="top"/>
          </w:tcPr>
          <w:p w14:paraId="4D116D34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投标报价</w:t>
            </w:r>
          </w:p>
          <w:p w14:paraId="5A5E257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 w14:paraId="038BC34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0F10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6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A3FD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6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3229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基于AI遥感的城市复杂架空输电线路机械化施工智能优化研究与应用</w:t>
            </w:r>
          </w:p>
        </w:tc>
        <w:tc>
          <w:tcPr>
            <w:tcW w:w="1817" w:type="dxa"/>
            <w:noWrap w:val="0"/>
            <w:vAlign w:val="center"/>
          </w:tcPr>
          <w:p w14:paraId="409E64B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750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1461" w:type="dxa"/>
            <w:tcBorders>
              <w:top w:val="single" w:color="auto" w:sz="4" w:space="0"/>
            </w:tcBorders>
            <w:noWrap w:val="0"/>
            <w:vAlign w:val="center"/>
          </w:tcPr>
          <w:p w14:paraId="58487EC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16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F841C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31C46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7C5CBE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报价要求：</w:t>
      </w:r>
    </w:p>
    <w:p w14:paraId="272769C6">
      <w:pPr>
        <w:pStyle w:val="3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1. 金额报价，同时填报投标下浮率。当投标金额报价与投标下浮率计算结果不一致时，以投标金额报价为准，按公式修订投标下浮率。</w:t>
      </w:r>
    </w:p>
    <w:p w14:paraId="4F782468">
      <w:pPr>
        <w:pStyle w:val="3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2.投标报价≤最高投标限价（公布最高投标限价的总价及各单项价格）；投标下浮率不低于0%为有效报价；报价下浮率大于15%的需提供成本分析报告（成本分析报告需充分说明单价和费用的组成、降低成本的合理措施及在其他项目中应用过的经验，未提供成本分析报告视为原则性不响应采购文件要求。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  <w:lang w:eastAsia="zh-CN"/>
        </w:rPr>
        <w:t>）</w:t>
      </w:r>
    </w:p>
    <w:p w14:paraId="0CA69508">
      <w:pPr>
        <w:numPr>
          <w:ilvl w:val="0"/>
          <w:numId w:val="0"/>
        </w:numPr>
        <w:ind w:left="240" w:leftChars="0"/>
        <w:rPr>
          <w:rFonts w:hint="default"/>
          <w:highlight w:val="none"/>
          <w:lang w:val="en-US" w:eastAsia="zh-CN"/>
        </w:rPr>
      </w:pPr>
    </w:p>
    <w:p w14:paraId="41B2E16E">
      <w:pPr>
        <w:rPr>
          <w:rFonts w:hint="eastAsia"/>
          <w:highlight w:val="none"/>
          <w:lang w:val="en-US" w:eastAsia="zh-CN"/>
        </w:rPr>
      </w:pPr>
    </w:p>
    <w:p w14:paraId="21ACD339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四、结算方式</w:t>
      </w:r>
    </w:p>
    <w:p w14:paraId="1A01AB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  <w:lang w:val="en-US" w:eastAsia="zh-CN" w:bidi="ar-SA"/>
        </w:rPr>
        <w:t>结算方式：本工程合同价总价包干。结算时总价包干部分，除合同约定可调整的情况外，结算不予调整，中标合同价款中的漏项、错项结算时视为已包括在其他子项的报价中，不予调整。</w:t>
      </w:r>
    </w:p>
    <w:p w14:paraId="042F8350">
      <w:pPr>
        <w:spacing w:before="156" w:beforeLines="50" w:after="156" w:afterLines="50" w:line="48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 w14:paraId="7831C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 w14:paraId="212E13A2">
      <w:pPr>
        <w:pStyle w:val="12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</w:rPr>
        <w:sym w:font="Wingdings" w:char="00FE"/>
      </w:r>
      <w:r>
        <w:rPr>
          <w:rFonts w:hint="eastAsia"/>
          <w:sz w:val="24"/>
          <w:szCs w:val="24"/>
          <w:highlight w:val="none"/>
          <w:lang w:eastAsia="zh-CN"/>
        </w:rPr>
        <w:t>不允许分包</w:t>
      </w:r>
    </w:p>
    <w:p w14:paraId="353179B2">
      <w:pPr>
        <w:pStyle w:val="12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sz w:val="24"/>
          <w:szCs w:val="24"/>
          <w:highlight w:val="none"/>
          <w:lang w:eastAsia="zh-CN"/>
        </w:rPr>
        <w:t>允许分包，但必须符合以下要求：</w:t>
      </w:r>
    </w:p>
    <w:p w14:paraId="0CF7EDD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</w:t>
      </w:r>
    </w:p>
    <w:p w14:paraId="791480C2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</w:p>
    <w:p w14:paraId="5B39F308"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br w:type="page"/>
      </w:r>
    </w:p>
    <w:p w14:paraId="71545633">
      <w:pPr>
        <w:pStyle w:val="10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 w14:paraId="6346F09D">
      <w:pPr>
        <w:pStyle w:val="5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 w14:paraId="66E2CD08">
      <w:pPr>
        <w:pStyle w:val="10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 w14:paraId="1C112ADF">
      <w:pPr>
        <w:pStyle w:val="5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 w14:paraId="58D6EF66"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 w14:paraId="1D589854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 w14:paraId="4D33E3F8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1" w:name="_GoBack"/>
      <w:bookmarkEnd w:id="1"/>
    </w:p>
    <w:p w14:paraId="1BB21F2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 w14:paraId="51D71F2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vertAlign w:val="baseline"/>
          <w:lang w:val="en-US" w:eastAsia="zh-CN"/>
        </w:rPr>
      </w:pPr>
    </w:p>
    <w:p w14:paraId="741E185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6993E1"/>
    <w:multiLevelType w:val="singleLevel"/>
    <w:tmpl w:val="EA6993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2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1270A5"/>
    <w:rsid w:val="007A4AD7"/>
    <w:rsid w:val="01110546"/>
    <w:rsid w:val="04A24F71"/>
    <w:rsid w:val="076F3B3B"/>
    <w:rsid w:val="07CA37DF"/>
    <w:rsid w:val="0AE15605"/>
    <w:rsid w:val="0B4A6210"/>
    <w:rsid w:val="0BC07002"/>
    <w:rsid w:val="0E2F4C02"/>
    <w:rsid w:val="0E3616E0"/>
    <w:rsid w:val="0E394169"/>
    <w:rsid w:val="0E3F2728"/>
    <w:rsid w:val="0F81532F"/>
    <w:rsid w:val="107144D2"/>
    <w:rsid w:val="116419AD"/>
    <w:rsid w:val="11DF6CFE"/>
    <w:rsid w:val="13383335"/>
    <w:rsid w:val="14440D4B"/>
    <w:rsid w:val="14781EB9"/>
    <w:rsid w:val="14B666F3"/>
    <w:rsid w:val="15056A61"/>
    <w:rsid w:val="17722603"/>
    <w:rsid w:val="18152D17"/>
    <w:rsid w:val="18E57496"/>
    <w:rsid w:val="1A386933"/>
    <w:rsid w:val="1A4F176B"/>
    <w:rsid w:val="1B663F82"/>
    <w:rsid w:val="1C2D4629"/>
    <w:rsid w:val="1C43636C"/>
    <w:rsid w:val="1C8618B6"/>
    <w:rsid w:val="1D904223"/>
    <w:rsid w:val="1F3B74DA"/>
    <w:rsid w:val="1F653C49"/>
    <w:rsid w:val="1FF914D4"/>
    <w:rsid w:val="20735046"/>
    <w:rsid w:val="216F4D5B"/>
    <w:rsid w:val="21C11DC8"/>
    <w:rsid w:val="23B738BA"/>
    <w:rsid w:val="24E67795"/>
    <w:rsid w:val="24F737D8"/>
    <w:rsid w:val="2525523D"/>
    <w:rsid w:val="26EB3B6A"/>
    <w:rsid w:val="27351DBD"/>
    <w:rsid w:val="291D5E51"/>
    <w:rsid w:val="2BE07E0A"/>
    <w:rsid w:val="2CA17C08"/>
    <w:rsid w:val="2DCB0492"/>
    <w:rsid w:val="2DDF66E3"/>
    <w:rsid w:val="2FF65FF8"/>
    <w:rsid w:val="300D195C"/>
    <w:rsid w:val="30BF37B5"/>
    <w:rsid w:val="313B0851"/>
    <w:rsid w:val="31A1649A"/>
    <w:rsid w:val="31C955A9"/>
    <w:rsid w:val="32150D08"/>
    <w:rsid w:val="33B200AF"/>
    <w:rsid w:val="33C75702"/>
    <w:rsid w:val="33E61BE2"/>
    <w:rsid w:val="34FF6141"/>
    <w:rsid w:val="361736AD"/>
    <w:rsid w:val="36D200CF"/>
    <w:rsid w:val="378916FB"/>
    <w:rsid w:val="379951F8"/>
    <w:rsid w:val="38382DC3"/>
    <w:rsid w:val="38DE045C"/>
    <w:rsid w:val="3987396D"/>
    <w:rsid w:val="3B595AEE"/>
    <w:rsid w:val="3BF24D81"/>
    <w:rsid w:val="3BFE7BEA"/>
    <w:rsid w:val="3C4750A3"/>
    <w:rsid w:val="3C4A35F1"/>
    <w:rsid w:val="40E8295B"/>
    <w:rsid w:val="420455E6"/>
    <w:rsid w:val="42E73C50"/>
    <w:rsid w:val="44982260"/>
    <w:rsid w:val="44D414C9"/>
    <w:rsid w:val="46472D5E"/>
    <w:rsid w:val="479B51D9"/>
    <w:rsid w:val="485D3F87"/>
    <w:rsid w:val="496A657E"/>
    <w:rsid w:val="49843C09"/>
    <w:rsid w:val="4B3A1BDA"/>
    <w:rsid w:val="4BF83760"/>
    <w:rsid w:val="4C5B4768"/>
    <w:rsid w:val="4C8349B8"/>
    <w:rsid w:val="504766FD"/>
    <w:rsid w:val="552A0C96"/>
    <w:rsid w:val="55BB16B6"/>
    <w:rsid w:val="55C3156A"/>
    <w:rsid w:val="560A4CB8"/>
    <w:rsid w:val="576E2BD0"/>
    <w:rsid w:val="5782183A"/>
    <w:rsid w:val="57BD355E"/>
    <w:rsid w:val="58D21C48"/>
    <w:rsid w:val="5B0320E2"/>
    <w:rsid w:val="5B8B11A7"/>
    <w:rsid w:val="5B9E2EC4"/>
    <w:rsid w:val="5CD10D7E"/>
    <w:rsid w:val="5FE15C56"/>
    <w:rsid w:val="60002310"/>
    <w:rsid w:val="608606DE"/>
    <w:rsid w:val="610E324A"/>
    <w:rsid w:val="61F31EFD"/>
    <w:rsid w:val="63066BC7"/>
    <w:rsid w:val="63D0487B"/>
    <w:rsid w:val="64672037"/>
    <w:rsid w:val="64911DA0"/>
    <w:rsid w:val="658F3EBC"/>
    <w:rsid w:val="65945D8D"/>
    <w:rsid w:val="66C35559"/>
    <w:rsid w:val="67D57489"/>
    <w:rsid w:val="68570F93"/>
    <w:rsid w:val="6A287B5E"/>
    <w:rsid w:val="6B303A1A"/>
    <w:rsid w:val="6C704794"/>
    <w:rsid w:val="6DAA2FDF"/>
    <w:rsid w:val="6DF95579"/>
    <w:rsid w:val="6E121228"/>
    <w:rsid w:val="6F8447F5"/>
    <w:rsid w:val="70D1495F"/>
    <w:rsid w:val="70ED510D"/>
    <w:rsid w:val="712F63C0"/>
    <w:rsid w:val="72717CD1"/>
    <w:rsid w:val="743E1546"/>
    <w:rsid w:val="74614F7E"/>
    <w:rsid w:val="74695E39"/>
    <w:rsid w:val="754C6F3B"/>
    <w:rsid w:val="75B11AFF"/>
    <w:rsid w:val="75D32619"/>
    <w:rsid w:val="75FB7EC4"/>
    <w:rsid w:val="76307412"/>
    <w:rsid w:val="768D126A"/>
    <w:rsid w:val="780B6A75"/>
    <w:rsid w:val="79F83E18"/>
    <w:rsid w:val="7CBF3EE1"/>
    <w:rsid w:val="7CED7DC5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next w:val="6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8">
    <w:name w:val="font11"/>
    <w:basedOn w:val="1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9">
    <w:name w:val="表格文字"/>
    <w:basedOn w:val="10"/>
    <w:qFormat/>
    <w:uiPriority w:val="0"/>
    <w:pPr>
      <w:ind w:firstLine="22" w:firstLineChars="8"/>
      <w:textAlignment w:val="center"/>
    </w:pPr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1068</Words>
  <Characters>1173</Characters>
  <Lines>0</Lines>
  <Paragraphs>0</Paragraphs>
  <TotalTime>0</TotalTime>
  <ScaleCrop>false</ScaleCrop>
  <LinksUpToDate>false</LinksUpToDate>
  <CharactersWithSpaces>1179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批注</cp:lastModifiedBy>
  <dcterms:modified xsi:type="dcterms:W3CDTF">2025-09-08T08:42:04Z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EDF1AA3B88D44F0F8FEC517A4732750F</vt:lpwstr>
  </property>
  <property fmtid="{D5CDD505-2E9C-101B-9397-08002B2CF9AE}" pid="4" name="KSOTemplateDocerSaveRecord">
    <vt:lpwstr>eyJoZGlkIjoiYTRlYzViOTg3MzA5ZmNlNTA4ZDdkNmFjYWRlNWJjNjYiLCJ1c2VySWQiOiIxMTIzODYyNzQxIn0=</vt:lpwstr>
  </property>
</Properties>
</file>