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36"/>
          <w:szCs w:val="36"/>
          <w:lang w:val="en-US" w:eastAsia="zh-CN"/>
        </w:rPr>
        <w:t>标的1：电力智能巡检设备技术创新辅助服务报价明细表</w:t>
      </w:r>
    </w:p>
    <w:p>
      <w:pPr>
        <w:pStyle w:val="2"/>
        <w:rPr>
          <w:rFonts w:hint="eastAsia"/>
          <w:color w:val="auto"/>
          <w:sz w:val="24"/>
          <w:szCs w:val="16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16"/>
          <w:highlight w:val="none"/>
          <w:lang w:val="en-US" w:eastAsia="zh-CN"/>
        </w:rPr>
        <w:t>报价要求：</w:t>
      </w:r>
    </w:p>
    <w:p>
      <w:pPr>
        <w:pStyle w:val="2"/>
        <w:rPr>
          <w:rFonts w:hint="eastAsia"/>
          <w:color w:val="auto"/>
          <w:sz w:val="24"/>
          <w:szCs w:val="16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16"/>
          <w:highlight w:val="none"/>
          <w:lang w:val="en-US" w:eastAsia="zh-CN"/>
        </w:rPr>
        <w:t>1.请按报价表备注栏要求进行含税价、税率和不含税价报价，否则视为无效报价。</w:t>
      </w:r>
    </w:p>
    <w:p>
      <w:pPr>
        <w:pStyle w:val="2"/>
        <w:rPr>
          <w:rFonts w:hint="eastAsia"/>
          <w:color w:val="auto"/>
          <w:sz w:val="24"/>
          <w:szCs w:val="16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16"/>
          <w:highlight w:val="none"/>
          <w:lang w:val="en-US" w:eastAsia="zh-CN"/>
        </w:rPr>
        <w:t>2.报价税率即为结算税率，结算时须提供增值税专用发票（税率与报价税率一致）。</w:t>
      </w:r>
    </w:p>
    <w:p>
      <w:pPr>
        <w:pStyle w:val="2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16"/>
          <w:highlight w:val="none"/>
          <w:lang w:val="en-US" w:eastAsia="zh-CN"/>
        </w:rPr>
        <w:t>3.小规模纳税人增值税税率执行国家优惠税率政策的，请在后方按要求提供相关政策文件。</w:t>
      </w:r>
    </w:p>
    <w:p>
      <w:pPr>
        <w:rPr>
          <w:color w:val="auto"/>
          <w:highlight w:val="none"/>
        </w:rPr>
      </w:pP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6"/>
        <w:gridCol w:w="1340"/>
        <w:gridCol w:w="1919"/>
        <w:gridCol w:w="1309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1265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="宋体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服务类别</w:t>
            </w:r>
          </w:p>
        </w:tc>
        <w:tc>
          <w:tcPr>
            <w:tcW w:w="786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含税单价限价（万元/人月）</w:t>
            </w:r>
          </w:p>
        </w:tc>
        <w:tc>
          <w:tcPr>
            <w:tcW w:w="1126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含税单价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（万元/人月，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四舍五入保留2位小数</w:t>
            </w: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）</w:t>
            </w:r>
          </w:p>
        </w:tc>
        <w:tc>
          <w:tcPr>
            <w:tcW w:w="768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增值税税率（%）</w:t>
            </w:r>
          </w:p>
        </w:tc>
        <w:tc>
          <w:tcPr>
            <w:tcW w:w="105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不含税单</w:t>
            </w:r>
          </w:p>
          <w:p>
            <w:pPr>
              <w:jc w:val="center"/>
              <w:rPr>
                <w:rFonts w:hint="default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价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（万元/人月，四舍五入保留6位小数）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1265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电力智能巡检设备技术创新辅助服务</w:t>
            </w:r>
          </w:p>
        </w:tc>
        <w:tc>
          <w:tcPr>
            <w:tcW w:w="786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eastAsia="宋体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color w:val="auto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26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eastAsia="宋体"/>
                <w:color w:val="auto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8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053" w:type="pct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color w:val="auto"/>
          <w:highlight w:val="none"/>
          <w:vertAlign w:val="baseli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仿宋" w:hAnsi="仿宋" w:eastAsia="仿宋" w:cs="仿宋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lang w:val="en-US" w:eastAsia="zh-CN"/>
        </w:rPr>
        <w:t>以上计得不含税报价用于计算投标价格分。开标一览表填写价格为含税价单价。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lang w:val="en-US" w:eastAsia="zh-CN"/>
        </w:rPr>
        <w:t>小规模纳税人增值税税率执行国家优惠税率政策的，须在下方粘贴税率优惠政策文件（例如国家/地方电子税局内纳税人信息截图、税务机关出具的文件、</w:t>
      </w:r>
      <w:r>
        <w:rPr>
          <w:rFonts w:hint="eastAsia" w:ascii="仿宋" w:hAnsi="仿宋" w:eastAsia="仿宋" w:cs="仿宋"/>
          <w:b/>
          <w:bCs w:val="0"/>
          <w:color w:val="auto"/>
          <w:sz w:val="24"/>
          <w:szCs w:val="24"/>
          <w:highlight w:val="none"/>
          <w:lang w:val="en-US" w:eastAsia="zh-CN"/>
        </w:rPr>
        <w:t>国家税率优惠相关政策文件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lang w:val="en-US" w:eastAsia="zh-CN"/>
        </w:rPr>
        <w:t>）；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b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投标有效报价为最高限价及以下，投标价低于1.7万元/人月（最高限价的85%） 的，需提供成本分析报告(通过数据表格及文字分析说明，阐明本项目成本构成内容，提供成本控制具体方案，以及各项成本的节约措施，并证明成本节约的实际成效)。</w:t>
      </w:r>
    </w:p>
    <w:p>
      <w:pPr>
        <w:pStyle w:val="3"/>
        <w:jc w:val="both"/>
        <w:rPr>
          <w:lang w:val="en-US" w:eastAsia="zh-CN"/>
        </w:rPr>
      </w:pPr>
    </w:p>
    <w:p>
      <w:pPr>
        <w:spacing w:line="440" w:lineRule="exact"/>
        <w:ind w:left="-420" w:leftChars="-200" w:firstLine="420" w:firstLineChars="199"/>
        <w:jc w:val="right"/>
        <w:rPr>
          <w:b/>
          <w:bCs/>
          <w:szCs w:val="21"/>
          <w:u w:val="none"/>
          <w:lang w:val="en-US" w:eastAsia="zh-CN"/>
        </w:rPr>
      </w:pPr>
      <w:r>
        <w:rPr>
          <w:b/>
          <w:bCs/>
          <w:szCs w:val="21"/>
          <w:u w:val="none"/>
          <w:lang w:val="en-US" w:eastAsia="zh-CN"/>
        </w:rPr>
        <w:t>投 标 人：（</w:t>
      </w:r>
      <w:r>
        <w:rPr>
          <w:rFonts w:hint="eastAsia"/>
          <w:b/>
          <w:bCs/>
          <w:szCs w:val="21"/>
          <w:u w:val="none"/>
          <w:lang w:val="en-US" w:eastAsia="zh-CN"/>
        </w:rPr>
        <w:t>盖章</w:t>
      </w:r>
      <w:r>
        <w:rPr>
          <w:b/>
          <w:bCs/>
          <w:szCs w:val="21"/>
          <w:u w:val="none"/>
          <w:lang w:val="en-US" w:eastAsia="zh-CN"/>
        </w:rPr>
        <w:t>）</w:t>
      </w:r>
    </w:p>
    <w:p>
      <w:pPr>
        <w:spacing w:line="440" w:lineRule="exact"/>
        <w:ind w:left="-420" w:leftChars="-200" w:firstLine="420" w:firstLineChars="199"/>
        <w:jc w:val="right"/>
        <w:rPr>
          <w:color w:val="auto"/>
          <w:highlight w:val="none"/>
        </w:rPr>
      </w:pP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年</w:t>
      </w: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月</w:t>
      </w: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284AFA"/>
    <w:rsid w:val="13C25D29"/>
    <w:rsid w:val="1C413AF5"/>
    <w:rsid w:val="3B7E230A"/>
    <w:rsid w:val="5F284AFA"/>
    <w:rsid w:val="6B511B7A"/>
    <w:rsid w:val="716A5255"/>
    <w:rsid w:val="7BDF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2025-10-23T10:09:00Z</dcterms:created>
  <dc:creator>01909175.sz_sz</dc:creator>
  <cp:lastModifiedBy>feipingbiao</cp:lastModifiedBy>
  <dcterms:modified xsi:type="dcterms:W3CDTF">2025-11-17T11:43:09Z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DA9E837998CB4230819E820695E857AB</vt:lpwstr>
  </property>
</Properties>
</file>