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74153">
      <w:pPr>
        <w:pStyle w:val="11"/>
        <w:spacing w:line="360" w:lineRule="auto"/>
        <w:jc w:val="left"/>
        <w:rPr>
          <w:rFonts w:asciiTheme="minorEastAsia" w:hAnsiTheme="minorEastAsia" w:eastAsiaTheme="minorEastAsia" w:cstheme="minorEastAsia"/>
          <w:b/>
          <w:bCs/>
          <w:snapToGrid w:val="0"/>
          <w:sz w:val="32"/>
          <w:szCs w:val="32"/>
          <w:highlight w:val="none"/>
        </w:rPr>
      </w:pPr>
      <w:bookmarkStart w:id="0" w:name="_Toc8445"/>
      <w:r>
        <w:rPr>
          <w:rFonts w:hint="eastAsia" w:asciiTheme="minorEastAsia" w:hAnsiTheme="minorEastAsia" w:eastAsiaTheme="minorEastAsia" w:cstheme="minorEastAsia"/>
          <w:b/>
          <w:bCs/>
          <w:snapToGrid w:val="0"/>
          <w:sz w:val="32"/>
          <w:szCs w:val="32"/>
          <w:highlight w:val="none"/>
        </w:rPr>
        <w:t>附件A.项目信息清单</w:t>
      </w:r>
      <w:r>
        <w:rPr>
          <w:rFonts w:hint="eastAsia" w:asciiTheme="minorEastAsia" w:hAnsiTheme="minorEastAsia" w:eastAsiaTheme="minorEastAsia" w:cstheme="minorEastAsia"/>
          <w:b/>
          <w:bCs/>
          <w:snapToGrid w:val="0"/>
          <w:sz w:val="28"/>
          <w:szCs w:val="28"/>
          <w:highlight w:val="none"/>
        </w:rPr>
        <w:t>（</w:t>
      </w:r>
      <w:r>
        <w:rPr>
          <w:rFonts w:hint="eastAsia" w:asciiTheme="minorEastAsia" w:hAnsiTheme="minorEastAsia" w:eastAsiaTheme="minorEastAsia" w:cstheme="minorEastAsia"/>
          <w:b/>
          <w:bCs/>
          <w:snapToGrid w:val="0"/>
          <w:sz w:val="32"/>
          <w:szCs w:val="32"/>
          <w:highlight w:val="none"/>
          <w:lang w:val="en-US" w:eastAsia="zh-CN"/>
        </w:rPr>
        <w:t>标的1</w:t>
      </w:r>
      <w:r>
        <w:rPr>
          <w:rFonts w:hint="eastAsia" w:asciiTheme="minorEastAsia" w:hAnsiTheme="minorEastAsia" w:eastAsiaTheme="minorEastAsia" w:cstheme="minorEastAsia"/>
          <w:b/>
          <w:bCs/>
          <w:snapToGrid w:val="0"/>
          <w:sz w:val="32"/>
          <w:szCs w:val="32"/>
          <w:highlight w:val="none"/>
        </w:rPr>
        <w:t>标包1.500千伏海珠输变电工程（500千伏隧道部分（不含风水电））代建服务项目</w:t>
      </w:r>
      <w:r>
        <w:rPr>
          <w:rFonts w:hint="eastAsia" w:asciiTheme="minorEastAsia" w:hAnsiTheme="minorEastAsia" w:eastAsiaTheme="minorEastAsia" w:cstheme="minorEastAsia"/>
          <w:b/>
          <w:bCs/>
          <w:snapToGrid w:val="0"/>
          <w:sz w:val="28"/>
          <w:szCs w:val="28"/>
          <w:highlight w:val="none"/>
        </w:rPr>
        <w:t>）</w:t>
      </w:r>
    </w:p>
    <w:bookmarkEnd w:id="0"/>
    <w:p w14:paraId="11C5593A">
      <w:pPr>
        <w:pStyle w:val="11"/>
        <w:numPr>
          <w:ilvl w:val="0"/>
          <w:numId w:val="1"/>
        </w:numPr>
        <w:spacing w:line="360" w:lineRule="auto"/>
        <w:jc w:val="left"/>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napToGrid w:val="0"/>
          <w:sz w:val="28"/>
          <w:szCs w:val="28"/>
          <w:highlight w:val="none"/>
        </w:rPr>
        <w:t>项目信息</w:t>
      </w:r>
    </w:p>
    <w:p w14:paraId="128572FE">
      <w:pPr>
        <w:pStyle w:val="11"/>
        <w:spacing w:line="360" w:lineRule="auto"/>
        <w:jc w:val="center"/>
        <w:rPr>
          <w:rFonts w:asciiTheme="minorEastAsia" w:hAnsiTheme="minorEastAsia" w:eastAsiaTheme="minorEastAsia" w:cstheme="minorEastAsia"/>
          <w:b/>
          <w:bCs/>
          <w:sz w:val="24"/>
          <w:szCs w:val="24"/>
          <w:highlight w:val="none"/>
        </w:rPr>
      </w:pPr>
      <w:r>
        <w:rPr>
          <w:rFonts w:hint="eastAsia" w:hAnsi="宋体" w:cs="宋体"/>
          <w:b/>
          <w:bCs/>
          <w:snapToGrid w:val="0"/>
          <w:sz w:val="24"/>
          <w:szCs w:val="24"/>
          <w:highlight w:val="none"/>
        </w:rPr>
        <w:t>招标前期资料</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3841"/>
        <w:gridCol w:w="5332"/>
      </w:tblGrid>
      <w:tr w14:paraId="4CAA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396" w:type="pct"/>
          </w:tcPr>
          <w:p w14:paraId="3390EF5D">
            <w:pPr>
              <w:pStyle w:val="11"/>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序号</w:t>
            </w:r>
          </w:p>
        </w:tc>
        <w:tc>
          <w:tcPr>
            <w:tcW w:w="1928" w:type="pct"/>
          </w:tcPr>
          <w:p w14:paraId="4D1B67A9">
            <w:pPr>
              <w:pStyle w:val="11"/>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文件名称</w:t>
            </w:r>
          </w:p>
        </w:tc>
        <w:tc>
          <w:tcPr>
            <w:tcW w:w="2676" w:type="pct"/>
          </w:tcPr>
          <w:p w14:paraId="247AC563">
            <w:pPr>
              <w:pStyle w:val="11"/>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文件文号</w:t>
            </w:r>
          </w:p>
        </w:tc>
      </w:tr>
      <w:tr w14:paraId="29B9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396" w:type="pct"/>
            <w:vAlign w:val="center"/>
          </w:tcPr>
          <w:p w14:paraId="0B457260">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1</w:t>
            </w:r>
          </w:p>
        </w:tc>
        <w:tc>
          <w:tcPr>
            <w:tcW w:w="1928" w:type="pct"/>
            <w:vAlign w:val="center"/>
          </w:tcPr>
          <w:p w14:paraId="7750DB39">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项目立项(可研批复)文号</w:t>
            </w:r>
          </w:p>
        </w:tc>
        <w:tc>
          <w:tcPr>
            <w:tcW w:w="2676" w:type="pct"/>
            <w:vAlign w:val="center"/>
          </w:tcPr>
          <w:p w14:paraId="1C595C13">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穗发改核准〔2025〕</w:t>
            </w:r>
            <w:r>
              <w:rPr>
                <w:rFonts w:hint="eastAsia" w:asciiTheme="minorEastAsia" w:hAnsiTheme="minorEastAsia" w:eastAsiaTheme="minorEastAsia" w:cstheme="minorEastAsia"/>
                <w:snapToGrid w:val="0"/>
                <w:sz w:val="24"/>
                <w:szCs w:val="24"/>
                <w:highlight w:val="none"/>
                <w:lang w:val="en-US" w:eastAsia="zh-CN"/>
              </w:rPr>
              <w:t>3</w:t>
            </w:r>
            <w:r>
              <w:rPr>
                <w:rFonts w:hint="eastAsia" w:asciiTheme="minorEastAsia" w:hAnsiTheme="minorEastAsia" w:eastAsiaTheme="minorEastAsia" w:cstheme="minorEastAsia"/>
                <w:snapToGrid w:val="0"/>
                <w:sz w:val="24"/>
                <w:szCs w:val="24"/>
                <w:highlight w:val="none"/>
              </w:rPr>
              <w:t>号</w:t>
            </w:r>
          </w:p>
        </w:tc>
      </w:tr>
      <w:tr w14:paraId="58FC3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exact"/>
          <w:jc w:val="center"/>
        </w:trPr>
        <w:tc>
          <w:tcPr>
            <w:tcW w:w="396" w:type="pct"/>
            <w:vAlign w:val="center"/>
          </w:tcPr>
          <w:p w14:paraId="2EBB0936">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2</w:t>
            </w:r>
          </w:p>
        </w:tc>
        <w:tc>
          <w:tcPr>
            <w:tcW w:w="1928" w:type="pct"/>
            <w:vAlign w:val="center"/>
          </w:tcPr>
          <w:p w14:paraId="25611865">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资金落实情况</w:t>
            </w:r>
          </w:p>
        </w:tc>
        <w:tc>
          <w:tcPr>
            <w:tcW w:w="2676" w:type="pct"/>
            <w:vAlign w:val="center"/>
          </w:tcPr>
          <w:p w14:paraId="52A3CF4C">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广电规〔</w:t>
            </w:r>
            <w:r>
              <w:rPr>
                <w:rFonts w:hint="eastAsia" w:asciiTheme="minorEastAsia" w:hAnsiTheme="minorEastAsia" w:eastAsiaTheme="minorEastAsia" w:cstheme="minorEastAsia"/>
                <w:snapToGrid w:val="0"/>
                <w:sz w:val="24"/>
                <w:szCs w:val="24"/>
                <w:highlight w:val="none"/>
                <w:lang w:val="en-US" w:eastAsia="zh-CN"/>
              </w:rPr>
              <w:t>2025</w:t>
            </w:r>
            <w:r>
              <w:rPr>
                <w:rFonts w:hint="eastAsia" w:asciiTheme="minorEastAsia" w:hAnsiTheme="minorEastAsia" w:eastAsiaTheme="minorEastAsia" w:cstheme="minorEastAsia"/>
                <w:snapToGrid w:val="0"/>
                <w:sz w:val="24"/>
                <w:szCs w:val="24"/>
                <w:highlight w:val="none"/>
              </w:rPr>
              <w:t>〕</w:t>
            </w:r>
            <w:r>
              <w:rPr>
                <w:rFonts w:hint="eastAsia" w:asciiTheme="minorEastAsia" w:hAnsiTheme="minorEastAsia" w:eastAsiaTheme="minorEastAsia" w:cstheme="minorEastAsia"/>
                <w:snapToGrid w:val="0"/>
                <w:sz w:val="24"/>
                <w:szCs w:val="24"/>
                <w:highlight w:val="none"/>
                <w:lang w:val="en-US" w:eastAsia="zh-CN"/>
              </w:rPr>
              <w:t>85</w:t>
            </w:r>
            <w:r>
              <w:rPr>
                <w:rFonts w:hint="eastAsia" w:asciiTheme="minorEastAsia" w:hAnsiTheme="minorEastAsia" w:eastAsiaTheme="minorEastAsia" w:cstheme="minorEastAsia"/>
                <w:snapToGrid w:val="0"/>
                <w:sz w:val="24"/>
                <w:szCs w:val="24"/>
                <w:highlight w:val="none"/>
              </w:rPr>
              <w:t>号</w:t>
            </w:r>
          </w:p>
        </w:tc>
      </w:tr>
      <w:tr w14:paraId="3E8C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96" w:type="pct"/>
            <w:vAlign w:val="center"/>
          </w:tcPr>
          <w:p w14:paraId="7FF9C89D">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3</w:t>
            </w:r>
          </w:p>
        </w:tc>
        <w:tc>
          <w:tcPr>
            <w:tcW w:w="1928" w:type="pct"/>
            <w:vAlign w:val="center"/>
          </w:tcPr>
          <w:p w14:paraId="521FF165">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项目建设单位</w:t>
            </w:r>
          </w:p>
        </w:tc>
        <w:tc>
          <w:tcPr>
            <w:tcW w:w="2676" w:type="pct"/>
            <w:vAlign w:val="center"/>
          </w:tcPr>
          <w:p w14:paraId="443B7E01">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广东电网有限责任公司广州供电局</w:t>
            </w:r>
          </w:p>
        </w:tc>
      </w:tr>
      <w:tr w14:paraId="5764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96" w:type="pct"/>
            <w:vAlign w:val="center"/>
          </w:tcPr>
          <w:p w14:paraId="765A2076">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4</w:t>
            </w:r>
          </w:p>
        </w:tc>
        <w:tc>
          <w:tcPr>
            <w:tcW w:w="1928" w:type="pct"/>
            <w:vAlign w:val="center"/>
          </w:tcPr>
          <w:p w14:paraId="0BE19BA0">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项目建设地点</w:t>
            </w:r>
          </w:p>
        </w:tc>
        <w:tc>
          <w:tcPr>
            <w:tcW w:w="2676" w:type="pct"/>
            <w:vAlign w:val="center"/>
          </w:tcPr>
          <w:p w14:paraId="5FDCD6E8">
            <w:pPr>
              <w:pStyle w:val="11"/>
              <w:spacing w:line="480" w:lineRule="exact"/>
              <w:jc w:val="center"/>
              <w:rPr>
                <w:rFonts w:hint="default" w:asciiTheme="minorEastAsia" w:hAnsiTheme="minorEastAsia" w:eastAsiaTheme="minorEastAsia" w:cstheme="minorEastAsia"/>
                <w:snapToGrid w:val="0"/>
                <w:sz w:val="24"/>
                <w:szCs w:val="24"/>
                <w:highlight w:val="none"/>
                <w:lang w:val="en-US" w:eastAsia="zh-CN"/>
              </w:rPr>
            </w:pPr>
            <w:r>
              <w:rPr>
                <w:rFonts w:hint="eastAsia" w:asciiTheme="minorEastAsia" w:hAnsiTheme="minorEastAsia" w:eastAsiaTheme="minorEastAsia" w:cstheme="minorEastAsia"/>
                <w:snapToGrid w:val="0"/>
                <w:sz w:val="24"/>
                <w:szCs w:val="24"/>
                <w:highlight w:val="none"/>
              </w:rPr>
              <w:t>广州市</w:t>
            </w:r>
            <w:r>
              <w:rPr>
                <w:rFonts w:hint="eastAsia" w:asciiTheme="minorEastAsia" w:hAnsiTheme="minorEastAsia" w:eastAsiaTheme="minorEastAsia" w:cstheme="minorEastAsia"/>
                <w:snapToGrid w:val="0"/>
                <w:sz w:val="24"/>
                <w:szCs w:val="24"/>
                <w:highlight w:val="none"/>
                <w:lang w:val="en-US" w:eastAsia="zh-CN"/>
              </w:rPr>
              <w:t>海珠区、番禺区</w:t>
            </w:r>
          </w:p>
        </w:tc>
      </w:tr>
      <w:tr w14:paraId="3A6B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exact"/>
          <w:jc w:val="center"/>
        </w:trPr>
        <w:tc>
          <w:tcPr>
            <w:tcW w:w="396" w:type="pct"/>
            <w:vAlign w:val="center"/>
          </w:tcPr>
          <w:p w14:paraId="096E33C3">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5</w:t>
            </w:r>
          </w:p>
        </w:tc>
        <w:tc>
          <w:tcPr>
            <w:tcW w:w="1928" w:type="pct"/>
            <w:vAlign w:val="center"/>
          </w:tcPr>
          <w:p w14:paraId="6A7379D1">
            <w:pPr>
              <w:pStyle w:val="11"/>
              <w:snapToGrid w:val="0"/>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服务期</w:t>
            </w:r>
          </w:p>
        </w:tc>
        <w:tc>
          <w:tcPr>
            <w:tcW w:w="2676" w:type="pct"/>
            <w:vAlign w:val="center"/>
          </w:tcPr>
          <w:p w14:paraId="2539A8B5">
            <w:pPr>
              <w:pStyle w:val="11"/>
              <w:snapToGrid w:val="0"/>
              <w:jc w:val="center"/>
              <w:rPr>
                <w:rFonts w:hint="eastAsia" w:hAnsi="宋体" w:eastAsia="宋体" w:cs="宋体"/>
                <w:bCs/>
                <w:sz w:val="21"/>
                <w:szCs w:val="21"/>
                <w:highlight w:val="none"/>
                <w:lang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合同签订之日起720日历天，实际工期以开工报告、竣工报告为准。</w:t>
            </w:r>
          </w:p>
        </w:tc>
      </w:tr>
    </w:tbl>
    <w:p w14:paraId="1BCE8656">
      <w:pPr>
        <w:spacing w:before="156" w:beforeLines="50" w:after="156" w:afterLines="50" w:line="480" w:lineRule="auto"/>
        <w:rPr>
          <w:rFonts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一、项目概况</w:t>
      </w:r>
    </w:p>
    <w:p w14:paraId="13BDA271">
      <w:pPr>
        <w:spacing w:before="156" w:beforeLines="50" w:after="156" w:afterLines="50" w:line="480" w:lineRule="auto"/>
        <w:ind w:firstLine="480" w:firstLineChars="200"/>
        <w:rPr>
          <w:rFonts w:hint="eastAsia" w:asciiTheme="minorEastAsia" w:hAnsiTheme="minorEastAsia" w:eastAsiaTheme="minorEastAsia" w:cstheme="minorEastAsia"/>
          <w:bCs/>
          <w:kern w:val="0"/>
          <w:sz w:val="24"/>
          <w:szCs w:val="24"/>
          <w:highlight w:val="none"/>
          <w:u w:val="single"/>
        </w:rPr>
      </w:pPr>
      <w:r>
        <w:rPr>
          <w:rFonts w:hint="eastAsia" w:asciiTheme="minorEastAsia" w:hAnsiTheme="minorEastAsia" w:eastAsiaTheme="minorEastAsia" w:cstheme="minorEastAsia"/>
          <w:bCs/>
          <w:kern w:val="0"/>
          <w:sz w:val="24"/>
          <w:szCs w:val="24"/>
          <w:highlight w:val="none"/>
          <w:u w:val="single"/>
        </w:rPr>
        <w:t>隧道工程：新建电力隧道全长10036.45米，全线设置14座井（其中2座为人员检修井）。其中海珠站连接段长度约170.65米，拟采用明挖法，施工隧道内净空2.6m（宽）*3.05m（高），隧道管容6回500kV线路；海珠站外段新建电力隧道长度约为9865.8米，除工作井外拟全部采用盾构法实施。盾构法隧道内径为3.5米，外径4.1米，壁厚0.3米，隧道管容4回500kV+4回220kV线路。新建隧道内同时装设相应附属设施（本标段含支架安装，不含风水电敷设），具体建设规模以施工图纸为准。</w:t>
      </w:r>
    </w:p>
    <w:p w14:paraId="51B91900">
      <w:pPr>
        <w:pStyle w:val="11"/>
        <w:adjustRightInd w:val="0"/>
        <w:snapToGrid w:val="0"/>
        <w:ind w:firstLine="480" w:firstLineChars="200"/>
        <w:rPr>
          <w:rFonts w:hint="eastAsia" w:hAnsi="宋体" w:cs="宋体"/>
          <w:bCs/>
          <w:sz w:val="24"/>
          <w:szCs w:val="24"/>
          <w:highlight w:val="none"/>
        </w:rPr>
      </w:pPr>
    </w:p>
    <w:p w14:paraId="2069B478">
      <w:pPr>
        <w:spacing w:before="156" w:beforeLines="50" w:after="156" w:afterLines="50" w:line="480" w:lineRule="auto"/>
        <w:rPr>
          <w:rFonts w:asciiTheme="minorEastAsia" w:hAnsiTheme="minorEastAsia" w:eastAsiaTheme="minorEastAsia" w:cstheme="minorEastAsia"/>
          <w:b/>
          <w:bCs/>
          <w:iCs/>
          <w:sz w:val="24"/>
          <w:szCs w:val="24"/>
          <w:highlight w:val="none"/>
        </w:rPr>
      </w:pPr>
      <w:r>
        <w:rPr>
          <w:rFonts w:hint="eastAsia" w:asciiTheme="minorEastAsia" w:hAnsiTheme="minorEastAsia" w:eastAsiaTheme="minorEastAsia" w:cstheme="minorEastAsia"/>
          <w:b/>
          <w:bCs/>
          <w:sz w:val="24"/>
          <w:szCs w:val="24"/>
          <w:highlight w:val="none"/>
        </w:rPr>
        <w:t>二、采购范围</w:t>
      </w:r>
    </w:p>
    <w:p w14:paraId="2528FB98">
      <w:pPr>
        <w:spacing w:before="156" w:beforeLines="50" w:after="156" w:afterLines="50" w:line="480" w:lineRule="auto"/>
        <w:ind w:firstLine="480" w:firstLineChars="200"/>
        <w:rPr>
          <w:highlight w:val="none"/>
        </w:rPr>
      </w:pPr>
      <w:r>
        <w:rPr>
          <w:rFonts w:hint="eastAsia" w:asciiTheme="minorEastAsia" w:hAnsiTheme="minorEastAsia" w:eastAsiaTheme="minorEastAsia" w:cstheme="minorEastAsia"/>
          <w:bCs/>
          <w:kern w:val="0"/>
          <w:sz w:val="24"/>
          <w:szCs w:val="24"/>
          <w:highlight w:val="none"/>
          <w:u w:val="single"/>
        </w:rPr>
        <w:t>从项目施工图设计开始至项目竣工验收、工程结算、竣工财务决算、移交和保修期结束之日止的建设统筹管理，在项目实施阶段，进行设计管理、招标管理、采购管理、施工管理、投资控制和竣工验收等工作（包括项目实施过程中可能出现的因规模及费用变更而导致的可研、初设调整工作），并对工程项目进行安全、质量、进度、投资、合同、信息等方面的全面管理和控制，直到办理竣工验收手续、工程结算和竣工财务决算、资产移交建设单位实施过程的建设管理工作及各种手续的报审管理工作。</w:t>
      </w:r>
    </w:p>
    <w:p w14:paraId="69F58B25">
      <w:pPr>
        <w:pStyle w:val="11"/>
        <w:rPr>
          <w:highlight w:val="none"/>
        </w:rPr>
      </w:pPr>
    </w:p>
    <w:p w14:paraId="61DBFCB8">
      <w:pPr>
        <w:pStyle w:val="3"/>
        <w:numPr>
          <w:ilvl w:val="0"/>
          <w:numId w:val="2"/>
        </w:numPr>
        <w:spacing w:line="360" w:lineRule="auto"/>
        <w:rPr>
          <w:highlight w:val="none"/>
        </w:rPr>
      </w:pPr>
      <w:r>
        <w:rPr>
          <w:rFonts w:hint="eastAsia" w:asciiTheme="minorEastAsia" w:hAnsiTheme="minorEastAsia" w:eastAsiaTheme="minorEastAsia" w:cstheme="minorEastAsia"/>
          <w:bCs/>
          <w:i w:val="0"/>
          <w:color w:val="auto"/>
          <w:sz w:val="24"/>
          <w:szCs w:val="24"/>
          <w:highlight w:val="none"/>
        </w:rPr>
        <w:t>报价表及报价要求</w:t>
      </w:r>
    </w:p>
    <w:tbl>
      <w:tblPr>
        <w:tblStyle w:val="17"/>
        <w:tblpPr w:leftFromText="180" w:rightFromText="180" w:vertAnchor="text" w:horzAnchor="page" w:tblpXSpec="center" w:tblpY="93"/>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3057"/>
        <w:gridCol w:w="1816"/>
        <w:gridCol w:w="1462"/>
        <w:gridCol w:w="2084"/>
        <w:gridCol w:w="912"/>
      </w:tblGrid>
      <w:tr w14:paraId="1D538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0" w:type="dxa"/>
            <w:tcBorders>
              <w:bottom w:val="single" w:color="auto" w:sz="4" w:space="0"/>
            </w:tcBorders>
            <w:vAlign w:val="center"/>
          </w:tcPr>
          <w:p w14:paraId="583D6FAE">
            <w:pPr>
              <w:tabs>
                <w:tab w:val="left" w:pos="900"/>
              </w:tabs>
              <w:snapToGrid w:val="0"/>
              <w:ind w:right="-24"/>
              <w:jc w:val="center"/>
              <w:rPr>
                <w:rFonts w:ascii="宋体" w:hAnsi="宋体" w:cs="宋体"/>
                <w:szCs w:val="21"/>
                <w:highlight w:val="none"/>
              </w:rPr>
            </w:pPr>
            <w:r>
              <w:rPr>
                <w:rFonts w:hint="eastAsia" w:ascii="宋体" w:hAnsi="宋体" w:cs="宋体"/>
                <w:szCs w:val="21"/>
                <w:highlight w:val="none"/>
              </w:rPr>
              <w:t>序号</w:t>
            </w:r>
          </w:p>
        </w:tc>
        <w:tc>
          <w:tcPr>
            <w:tcW w:w="3057" w:type="dxa"/>
            <w:tcBorders>
              <w:bottom w:val="single" w:color="auto" w:sz="4" w:space="0"/>
            </w:tcBorders>
            <w:vAlign w:val="center"/>
          </w:tcPr>
          <w:p w14:paraId="75E6FC7F">
            <w:pPr>
              <w:tabs>
                <w:tab w:val="left" w:pos="900"/>
              </w:tabs>
              <w:snapToGrid w:val="0"/>
              <w:ind w:left="282" w:right="-24"/>
              <w:jc w:val="center"/>
              <w:rPr>
                <w:rFonts w:ascii="宋体" w:hAnsi="宋体" w:cs="宋体"/>
                <w:szCs w:val="21"/>
                <w:highlight w:val="none"/>
              </w:rPr>
            </w:pPr>
            <w:r>
              <w:rPr>
                <w:rFonts w:hint="eastAsia" w:ascii="宋体" w:hAnsi="宋体" w:cs="宋体"/>
                <w:szCs w:val="21"/>
                <w:highlight w:val="none"/>
              </w:rPr>
              <w:t>费用名称</w:t>
            </w:r>
          </w:p>
        </w:tc>
        <w:tc>
          <w:tcPr>
            <w:tcW w:w="1816" w:type="dxa"/>
          </w:tcPr>
          <w:p w14:paraId="35612659">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最高投标限价</w:t>
            </w:r>
          </w:p>
          <w:p w14:paraId="4F007ACA">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(万元)</w:t>
            </w:r>
          </w:p>
        </w:tc>
        <w:tc>
          <w:tcPr>
            <w:tcW w:w="1462" w:type="dxa"/>
            <w:tcBorders>
              <w:bottom w:val="single" w:color="auto" w:sz="4" w:space="0"/>
            </w:tcBorders>
            <w:vAlign w:val="center"/>
          </w:tcPr>
          <w:p w14:paraId="099EB231">
            <w:pPr>
              <w:tabs>
                <w:tab w:val="left" w:pos="900"/>
              </w:tabs>
              <w:snapToGrid w:val="0"/>
              <w:spacing w:before="120" w:after="120"/>
              <w:ind w:right="-24"/>
              <w:jc w:val="center"/>
              <w:rPr>
                <w:rFonts w:ascii="宋体" w:hAnsi="宋体" w:cs="宋体"/>
                <w:b/>
                <w:szCs w:val="21"/>
                <w:highlight w:val="none"/>
              </w:rPr>
            </w:pPr>
            <w:r>
              <w:rPr>
                <w:rFonts w:hint="eastAsia" w:ascii="宋体" w:hAnsi="宋体" w:cs="宋体"/>
                <w:bCs/>
                <w:szCs w:val="21"/>
                <w:highlight w:val="none"/>
              </w:rPr>
              <w:t>投标下浮率</w:t>
            </w:r>
          </w:p>
        </w:tc>
        <w:tc>
          <w:tcPr>
            <w:tcW w:w="2084" w:type="dxa"/>
            <w:tcBorders>
              <w:bottom w:val="single" w:color="auto" w:sz="4" w:space="0"/>
            </w:tcBorders>
            <w:vAlign w:val="center"/>
          </w:tcPr>
          <w:p w14:paraId="2F6C361C">
            <w:pPr>
              <w:tabs>
                <w:tab w:val="left" w:pos="900"/>
              </w:tabs>
              <w:snapToGrid w:val="0"/>
              <w:spacing w:before="120" w:after="120"/>
              <w:ind w:right="-24"/>
              <w:jc w:val="center"/>
              <w:rPr>
                <w:rFonts w:ascii="宋体" w:hAnsi="宋体" w:cs="宋体"/>
                <w:szCs w:val="21"/>
                <w:highlight w:val="none"/>
              </w:rPr>
            </w:pPr>
            <w:r>
              <w:rPr>
                <w:rFonts w:hint="eastAsia" w:ascii="宋体" w:hAnsi="宋体" w:cs="宋体"/>
                <w:bCs/>
                <w:szCs w:val="21"/>
                <w:highlight w:val="none"/>
              </w:rPr>
              <w:t>投标报价(</w:t>
            </w:r>
            <w:r>
              <w:rPr>
                <w:rFonts w:hint="eastAsia" w:ascii="宋体" w:hAnsi="宋体" w:cs="宋体"/>
                <w:bCs/>
                <w:szCs w:val="21"/>
                <w:highlight w:val="none"/>
                <w:lang w:val="en-US" w:eastAsia="zh-CN"/>
              </w:rPr>
              <w:t>万</w:t>
            </w:r>
            <w:r>
              <w:rPr>
                <w:rFonts w:hint="eastAsia" w:ascii="宋体" w:hAnsi="宋体" w:cs="宋体"/>
                <w:bCs/>
                <w:szCs w:val="21"/>
                <w:highlight w:val="none"/>
              </w:rPr>
              <w:t>元)</w:t>
            </w:r>
          </w:p>
        </w:tc>
        <w:tc>
          <w:tcPr>
            <w:tcW w:w="912" w:type="dxa"/>
            <w:tcBorders>
              <w:bottom w:val="single" w:color="auto" w:sz="4" w:space="0"/>
            </w:tcBorders>
            <w:vAlign w:val="center"/>
          </w:tcPr>
          <w:p w14:paraId="3B59618E">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备注</w:t>
            </w:r>
          </w:p>
        </w:tc>
      </w:tr>
      <w:tr w14:paraId="00F08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jc w:val="center"/>
        </w:trPr>
        <w:tc>
          <w:tcPr>
            <w:tcW w:w="630" w:type="dxa"/>
            <w:tcBorders>
              <w:top w:val="single" w:color="auto" w:sz="4" w:space="0"/>
              <w:bottom w:val="single" w:color="auto" w:sz="4" w:space="0"/>
            </w:tcBorders>
            <w:vAlign w:val="center"/>
          </w:tcPr>
          <w:p w14:paraId="01156846">
            <w:pPr>
              <w:jc w:val="center"/>
              <w:rPr>
                <w:rFonts w:ascii="宋体" w:hAnsi="宋体" w:cs="宋体"/>
                <w:sz w:val="24"/>
                <w:szCs w:val="24"/>
                <w:highlight w:val="none"/>
              </w:rPr>
            </w:pPr>
            <w:r>
              <w:rPr>
                <w:rFonts w:hint="eastAsia" w:ascii="宋体" w:hAnsi="宋体" w:cs="宋体"/>
                <w:sz w:val="24"/>
                <w:szCs w:val="24"/>
                <w:highlight w:val="none"/>
              </w:rPr>
              <w:t>1</w:t>
            </w:r>
          </w:p>
        </w:tc>
        <w:tc>
          <w:tcPr>
            <w:tcW w:w="3057" w:type="dxa"/>
            <w:tcBorders>
              <w:top w:val="single" w:color="auto" w:sz="4" w:space="0"/>
              <w:bottom w:val="single" w:color="auto" w:sz="4" w:space="0"/>
            </w:tcBorders>
            <w:vAlign w:val="center"/>
          </w:tcPr>
          <w:p w14:paraId="2BD57E82">
            <w:pPr>
              <w:jc w:val="center"/>
              <w:rPr>
                <w:rFonts w:hint="eastAsia" w:ascii="宋体" w:hAnsi="宋体" w:cs="宋体"/>
                <w:sz w:val="24"/>
                <w:szCs w:val="24"/>
                <w:highlight w:val="none"/>
                <w:lang w:eastAsia="zh-CN"/>
              </w:rPr>
            </w:pPr>
            <w:r>
              <w:rPr>
                <w:rFonts w:hint="eastAsia" w:ascii="宋体" w:hAnsi="宋体" w:cs="宋体"/>
                <w:sz w:val="24"/>
                <w:szCs w:val="24"/>
                <w:highlight w:val="none"/>
              </w:rPr>
              <w:t>全过程工程项目管理</w:t>
            </w:r>
          </w:p>
        </w:tc>
        <w:tc>
          <w:tcPr>
            <w:tcW w:w="1816" w:type="dxa"/>
            <w:vAlign w:val="center"/>
          </w:tcPr>
          <w:p w14:paraId="539FF4BD">
            <w:pPr>
              <w:jc w:val="center"/>
              <w:rPr>
                <w:rFonts w:hint="default" w:ascii="宋体" w:hAnsi="宋体" w:cs="宋体"/>
                <w:sz w:val="24"/>
                <w:szCs w:val="24"/>
                <w:highlight w:val="none"/>
                <w:lang w:val="en-US"/>
              </w:rPr>
            </w:pPr>
            <w:r>
              <w:rPr>
                <w:rFonts w:hint="eastAsia" w:ascii="宋体" w:hAnsi="宋体" w:cs="宋体"/>
                <w:sz w:val="24"/>
                <w:szCs w:val="24"/>
                <w:highlight w:val="none"/>
                <w:lang w:val="en-US" w:eastAsia="zh-CN"/>
              </w:rPr>
              <w:t>628.00</w:t>
            </w:r>
          </w:p>
        </w:tc>
        <w:tc>
          <w:tcPr>
            <w:tcW w:w="1462" w:type="dxa"/>
            <w:vMerge w:val="restart"/>
            <w:tcBorders>
              <w:top w:val="single" w:color="auto" w:sz="4" w:space="0"/>
            </w:tcBorders>
            <w:vAlign w:val="center"/>
          </w:tcPr>
          <w:p w14:paraId="294AF911">
            <w:pPr>
              <w:tabs>
                <w:tab w:val="left" w:pos="900"/>
              </w:tabs>
              <w:snapToGrid w:val="0"/>
              <w:spacing w:before="60" w:after="120"/>
              <w:ind w:right="-24"/>
              <w:jc w:val="center"/>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tc>
        <w:tc>
          <w:tcPr>
            <w:tcW w:w="2084" w:type="dxa"/>
            <w:tcBorders>
              <w:top w:val="single" w:color="auto" w:sz="4" w:space="0"/>
              <w:bottom w:val="single" w:color="auto" w:sz="4" w:space="0"/>
            </w:tcBorders>
            <w:vAlign w:val="center"/>
          </w:tcPr>
          <w:p w14:paraId="597CF407">
            <w:pPr>
              <w:tabs>
                <w:tab w:val="left" w:pos="900"/>
              </w:tabs>
              <w:snapToGrid w:val="0"/>
              <w:spacing w:before="60" w:after="120"/>
              <w:ind w:right="-24"/>
              <w:jc w:val="center"/>
              <w:rPr>
                <w:rFonts w:ascii="宋体" w:hAnsi="宋体" w:cs="宋体"/>
                <w:sz w:val="24"/>
                <w:szCs w:val="24"/>
                <w:highlight w:val="none"/>
              </w:rPr>
            </w:pPr>
          </w:p>
        </w:tc>
        <w:tc>
          <w:tcPr>
            <w:tcW w:w="912" w:type="dxa"/>
            <w:tcBorders>
              <w:top w:val="single" w:color="auto" w:sz="4" w:space="0"/>
              <w:bottom w:val="single" w:color="auto" w:sz="4" w:space="0"/>
            </w:tcBorders>
            <w:vAlign w:val="center"/>
          </w:tcPr>
          <w:p w14:paraId="6FEAC3E1">
            <w:pPr>
              <w:tabs>
                <w:tab w:val="left" w:pos="900"/>
              </w:tabs>
              <w:snapToGrid w:val="0"/>
              <w:spacing w:before="60" w:after="120"/>
              <w:ind w:right="-24"/>
              <w:jc w:val="center"/>
              <w:rPr>
                <w:rFonts w:ascii="宋体" w:hAnsi="宋体" w:cs="宋体"/>
                <w:szCs w:val="21"/>
                <w:highlight w:val="none"/>
              </w:rPr>
            </w:pPr>
          </w:p>
        </w:tc>
      </w:tr>
      <w:tr w14:paraId="03B3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jc w:val="center"/>
        </w:trPr>
        <w:tc>
          <w:tcPr>
            <w:tcW w:w="3687" w:type="dxa"/>
            <w:gridSpan w:val="2"/>
            <w:tcBorders>
              <w:top w:val="single" w:color="auto" w:sz="4" w:space="0"/>
              <w:bottom w:val="single" w:color="auto" w:sz="4" w:space="0"/>
            </w:tcBorders>
            <w:vAlign w:val="center"/>
          </w:tcPr>
          <w:p w14:paraId="18AB35AE">
            <w:pPr>
              <w:jc w:val="center"/>
              <w:rPr>
                <w:rFonts w:hint="eastAsia" w:ascii="宋体" w:hAnsi="宋体" w:cs="宋体"/>
                <w:sz w:val="24"/>
                <w:szCs w:val="24"/>
                <w:highlight w:val="none"/>
              </w:rPr>
            </w:pPr>
            <w:bookmarkStart w:id="1" w:name="_GoBack"/>
            <w:r>
              <w:rPr>
                <w:rFonts w:hint="eastAsia" w:ascii="宋体" w:hAnsi="宋体" w:cs="宋体"/>
                <w:sz w:val="24"/>
                <w:szCs w:val="24"/>
                <w:highlight w:val="none"/>
              </w:rPr>
              <w:t>合计（小写）：</w:t>
            </w:r>
            <w:bookmarkEnd w:id="1"/>
          </w:p>
        </w:tc>
        <w:tc>
          <w:tcPr>
            <w:tcW w:w="1816" w:type="dxa"/>
            <w:vAlign w:val="center"/>
          </w:tcPr>
          <w:p w14:paraId="24784B24">
            <w:pPr>
              <w:jc w:val="center"/>
              <w:rPr>
                <w:rFonts w:hint="default" w:ascii="宋体" w:hAnsi="宋体" w:cs="宋体"/>
                <w:sz w:val="24"/>
                <w:szCs w:val="24"/>
                <w:highlight w:val="none"/>
                <w:lang w:val="en-US"/>
              </w:rPr>
            </w:pPr>
            <w:r>
              <w:rPr>
                <w:rFonts w:hint="eastAsia" w:ascii="宋体" w:hAnsi="宋体" w:cs="宋体"/>
                <w:sz w:val="24"/>
                <w:szCs w:val="24"/>
                <w:highlight w:val="none"/>
                <w:lang w:val="en-US" w:eastAsia="zh-CN"/>
              </w:rPr>
              <w:t>628.00</w:t>
            </w:r>
          </w:p>
        </w:tc>
        <w:tc>
          <w:tcPr>
            <w:tcW w:w="1462" w:type="dxa"/>
            <w:vMerge w:val="continue"/>
            <w:vAlign w:val="center"/>
          </w:tcPr>
          <w:p w14:paraId="146D2B3B">
            <w:pPr>
              <w:tabs>
                <w:tab w:val="left" w:pos="900"/>
              </w:tabs>
              <w:snapToGrid w:val="0"/>
              <w:spacing w:before="60" w:after="120"/>
              <w:ind w:right="-24"/>
              <w:jc w:val="center"/>
              <w:rPr>
                <w:rFonts w:ascii="宋体" w:hAnsi="宋体" w:cs="宋体"/>
                <w:szCs w:val="21"/>
                <w:highlight w:val="none"/>
                <w:u w:val="single"/>
              </w:rPr>
            </w:pPr>
          </w:p>
        </w:tc>
        <w:tc>
          <w:tcPr>
            <w:tcW w:w="2084" w:type="dxa"/>
            <w:tcBorders>
              <w:top w:val="single" w:color="auto" w:sz="4" w:space="0"/>
            </w:tcBorders>
            <w:vAlign w:val="center"/>
          </w:tcPr>
          <w:p w14:paraId="594D7C2D">
            <w:pPr>
              <w:tabs>
                <w:tab w:val="left" w:pos="900"/>
              </w:tabs>
              <w:snapToGrid w:val="0"/>
              <w:spacing w:before="60" w:after="120"/>
              <w:ind w:right="-24"/>
              <w:jc w:val="center"/>
              <w:rPr>
                <w:rFonts w:ascii="宋体" w:hAnsi="宋体" w:cs="宋体"/>
                <w:szCs w:val="21"/>
                <w:highlight w:val="none"/>
              </w:rPr>
            </w:pPr>
          </w:p>
        </w:tc>
        <w:tc>
          <w:tcPr>
            <w:tcW w:w="912" w:type="dxa"/>
            <w:tcBorders>
              <w:top w:val="single" w:color="auto" w:sz="4" w:space="0"/>
              <w:bottom w:val="single" w:color="auto" w:sz="4" w:space="0"/>
            </w:tcBorders>
            <w:vAlign w:val="center"/>
          </w:tcPr>
          <w:p w14:paraId="054F450D">
            <w:pPr>
              <w:tabs>
                <w:tab w:val="left" w:pos="900"/>
              </w:tabs>
              <w:snapToGrid w:val="0"/>
              <w:spacing w:before="60" w:after="120"/>
              <w:ind w:right="-24"/>
              <w:jc w:val="center"/>
              <w:rPr>
                <w:rFonts w:ascii="宋体" w:hAnsi="宋体" w:cs="宋体"/>
                <w:szCs w:val="21"/>
                <w:highlight w:val="none"/>
              </w:rPr>
            </w:pPr>
          </w:p>
        </w:tc>
      </w:tr>
    </w:tbl>
    <w:p w14:paraId="0A9EED52">
      <w:pPr>
        <w:pStyle w:val="7"/>
        <w:rPr>
          <w:color w:val="0000FF"/>
          <w:highlight w:val="none"/>
        </w:rPr>
      </w:pPr>
    </w:p>
    <w:p w14:paraId="7E48BB68">
      <w:pPr>
        <w:pStyle w:val="8"/>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报价要求：</w:t>
      </w:r>
    </w:p>
    <w:p w14:paraId="20654862">
      <w:pPr>
        <w:pStyle w:val="9"/>
        <w:numPr>
          <w:ilvl w:val="0"/>
          <w:numId w:val="3"/>
        </w:numPr>
        <w:ind w:firstLine="482" w:firstLineChars="200"/>
        <w:jc w:val="left"/>
        <w:rPr>
          <w:rFonts w:hint="eastAsia" w:ascii="宋体" w:hAnsi="宋体" w:eastAsia="宋体" w:cs="宋体"/>
          <w:color w:val="auto"/>
          <w:kern w:val="2"/>
          <w:sz w:val="24"/>
          <w:szCs w:val="24"/>
          <w:highlight w:val="none"/>
          <w:u w:val="single"/>
          <w:lang w:val="en-US" w:eastAsia="zh-CN"/>
        </w:rPr>
      </w:pPr>
      <w:r>
        <w:rPr>
          <w:rFonts w:hint="eastAsia" w:ascii="宋体" w:hAnsi="宋体" w:eastAsia="宋体" w:cs="宋体"/>
          <w:color w:val="auto"/>
          <w:kern w:val="2"/>
          <w:sz w:val="24"/>
          <w:szCs w:val="24"/>
          <w:highlight w:val="none"/>
          <w:u w:val="single"/>
          <w:lang w:val="en-US" w:eastAsia="zh-CN"/>
        </w:rPr>
        <w:t>按下浮率报价（保留两位小数，如8.88%），同时填报投标报价（投标报价=最高投标限价*（1-投标下浮率），四舍五入保留两位小数）。当投标报价与投标下浮率计算结果不一致时，以投标下浮率为准，按上述公式修订投标报价。</w:t>
      </w:r>
    </w:p>
    <w:p w14:paraId="30FB37C3">
      <w:pPr>
        <w:pStyle w:val="9"/>
        <w:numPr>
          <w:ilvl w:val="0"/>
          <w:numId w:val="0"/>
        </w:numPr>
        <w:ind w:firstLine="482" w:firstLineChars="200"/>
        <w:jc w:val="left"/>
        <w:rPr>
          <w:highlight w:val="none"/>
        </w:rPr>
      </w:pPr>
      <w:r>
        <w:rPr>
          <w:rFonts w:hint="eastAsia" w:ascii="宋体" w:hAnsi="宋体" w:eastAsia="宋体" w:cs="宋体"/>
          <w:color w:val="auto"/>
          <w:kern w:val="2"/>
          <w:sz w:val="24"/>
          <w:szCs w:val="24"/>
          <w:highlight w:val="none"/>
          <w:u w:val="single"/>
          <w:lang w:val="en-US" w:eastAsia="zh-CN"/>
        </w:rPr>
        <w:t>2.投标下浮率不低于0%为有效报价；当投标下浮率＞15%时应附成本分析报告，充分说明单价和费用的组成、降低成本的合理措施及在其他工程中应用过的经验等，经评审通过后方可视为有效报价。</w:t>
      </w:r>
    </w:p>
    <w:p w14:paraId="33BFF30D">
      <w:pPr>
        <w:pStyle w:val="9"/>
        <w:ind w:firstLine="482" w:firstLineChars="200"/>
        <w:jc w:val="left"/>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u w:val="single"/>
          <w:lang w:val="en-US" w:eastAsia="zh-CN"/>
        </w:rPr>
        <w:t>3.</w:t>
      </w:r>
      <w:r>
        <w:rPr>
          <w:rFonts w:hint="eastAsia" w:ascii="宋体" w:hAnsi="宋体" w:eastAsia="宋体" w:cs="宋体"/>
          <w:color w:val="auto"/>
          <w:kern w:val="2"/>
          <w:sz w:val="24"/>
          <w:szCs w:val="24"/>
          <w:highlight w:val="none"/>
          <w:u w:val="single"/>
        </w:rPr>
        <w:t>价格分计算时，投标人评标价按（100-投标人填写的下浮数值）参与计算。如：下浮率为1.88％时，评标价按（100-1.88）参与计算。</w:t>
      </w:r>
    </w:p>
    <w:p w14:paraId="63AD332A">
      <w:pPr>
        <w:pStyle w:val="3"/>
        <w:spacing w:line="360" w:lineRule="auto"/>
        <w:rPr>
          <w:rFonts w:asciiTheme="minorEastAsia" w:hAnsiTheme="minorEastAsia" w:eastAsiaTheme="minorEastAsia" w:cstheme="minorEastAsia"/>
          <w:bCs/>
          <w:i w:val="0"/>
          <w:color w:val="auto"/>
          <w:sz w:val="24"/>
          <w:szCs w:val="24"/>
          <w:highlight w:val="none"/>
        </w:rPr>
      </w:pPr>
      <w:r>
        <w:rPr>
          <w:rFonts w:hint="eastAsia" w:asciiTheme="minorEastAsia" w:hAnsiTheme="minorEastAsia" w:eastAsiaTheme="minorEastAsia" w:cstheme="minorEastAsia"/>
          <w:bCs/>
          <w:i w:val="0"/>
          <w:color w:val="auto"/>
          <w:sz w:val="24"/>
          <w:szCs w:val="24"/>
          <w:highlight w:val="none"/>
        </w:rPr>
        <w:t>四、结算方式</w:t>
      </w:r>
    </w:p>
    <w:p w14:paraId="5BAB223D">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default"/>
          <w:highlight w:val="none"/>
          <w:lang w:val="en-US" w:eastAsia="zh-CN"/>
        </w:rPr>
      </w:pPr>
      <w:r>
        <w:rPr>
          <w:rFonts w:hint="eastAsia" w:ascii="宋体" w:hAnsi="宋体" w:eastAsia="宋体" w:cs="宋体"/>
          <w:b/>
          <w:bCs/>
          <w:color w:val="auto"/>
          <w:kern w:val="2"/>
          <w:sz w:val="24"/>
          <w:szCs w:val="24"/>
          <w:highlight w:val="none"/>
          <w:u w:val="single"/>
          <w:lang w:val="en-US" w:eastAsia="zh-CN" w:bidi="ar-SA"/>
        </w:rPr>
        <w:t>结算方式：</w:t>
      </w:r>
      <w:r>
        <w:rPr>
          <w:rFonts w:hint="eastAsia" w:ascii="宋体" w:hAnsi="宋体" w:eastAsia="宋体" w:cs="宋体"/>
          <w:b/>
          <w:bCs/>
          <w:color w:val="auto"/>
          <w:kern w:val="0"/>
          <w:sz w:val="24"/>
          <w:szCs w:val="24"/>
          <w:highlight w:val="none"/>
          <w:u w:val="single"/>
          <w:lang w:val="en-US" w:eastAsia="zh-CN" w:bidi="ar-SA"/>
        </w:rPr>
        <w:t>本合同为固定总价合同，总价包干。</w:t>
      </w:r>
    </w:p>
    <w:p w14:paraId="0960446F">
      <w:pPr>
        <w:spacing w:before="156" w:beforeLines="50" w:after="156" w:afterLines="50" w:line="480" w:lineRule="auto"/>
        <w:rPr>
          <w:rFonts w:asciiTheme="minorEastAsia" w:hAnsiTheme="minorEastAsia" w:eastAsiaTheme="minorEastAsia" w:cstheme="minorEastAsia"/>
          <w:b/>
          <w:bCs/>
          <w:iCs/>
          <w:sz w:val="24"/>
          <w:szCs w:val="24"/>
          <w:highlight w:val="none"/>
        </w:rPr>
      </w:pPr>
      <w:r>
        <w:rPr>
          <w:rFonts w:hint="eastAsia" w:asciiTheme="minorEastAsia" w:hAnsiTheme="minorEastAsia" w:eastAsiaTheme="minorEastAsia" w:cstheme="minorEastAsia"/>
          <w:b/>
          <w:bCs/>
          <w:sz w:val="24"/>
          <w:szCs w:val="24"/>
          <w:highlight w:val="none"/>
        </w:rPr>
        <w:t>五、分包要求</w:t>
      </w:r>
    </w:p>
    <w:p w14:paraId="6A786183">
      <w:pPr>
        <w:pStyle w:val="16"/>
        <w:spacing w:before="156" w:after="156"/>
        <w:ind w:firstLine="0" w:firstLineChars="0"/>
        <w:rPr>
          <w:highlight w:val="none"/>
        </w:rPr>
      </w:pPr>
      <w:r>
        <w:rPr>
          <w:rFonts w:ascii="Wingdings" w:hAnsi="Wingdings" w:cs="Wingdings"/>
          <w:highlight w:val="none"/>
        </w:rPr>
        <w:sym w:font="Wingdings" w:char="00FE"/>
      </w:r>
      <w:r>
        <w:rPr>
          <w:rFonts w:hint="eastAsia"/>
          <w:highlight w:val="none"/>
        </w:rPr>
        <w:t>不允许分包</w:t>
      </w:r>
    </w:p>
    <w:p w14:paraId="0DBFAE75">
      <w:pPr>
        <w:pStyle w:val="16"/>
        <w:spacing w:before="156" w:after="156"/>
        <w:ind w:firstLine="0" w:firstLineChars="0"/>
        <w:rPr>
          <w:rFonts w:hint="eastAsia"/>
          <w:highlight w:val="none"/>
        </w:rPr>
      </w:pPr>
      <w:r>
        <w:rPr>
          <w:rFonts w:ascii="Wingdings" w:hAnsi="Wingdings" w:cs="Wingdings"/>
          <w:highlight w:val="none"/>
        </w:rPr>
        <w:sym w:font="Wingdings" w:char="00A8"/>
      </w:r>
      <w:r>
        <w:rPr>
          <w:rFonts w:hint="eastAsia"/>
          <w:highlight w:val="none"/>
        </w:rPr>
        <w:t>允许分包，但必须符合以下要求：</w:t>
      </w:r>
    </w:p>
    <w:p w14:paraId="140880DB">
      <w:pPr>
        <w:pStyle w:val="16"/>
        <w:spacing w:before="156" w:after="156"/>
        <w:ind w:firstLine="0" w:firstLineChars="0"/>
        <w:rPr>
          <w:rFonts w:hint="eastAsia"/>
          <w:highlight w:val="none"/>
        </w:rPr>
      </w:pPr>
    </w:p>
    <w:p w14:paraId="1BA8BBED">
      <w:pPr>
        <w:pStyle w:val="16"/>
        <w:spacing w:before="156" w:after="156"/>
        <w:ind w:firstLine="0" w:firstLineChars="0"/>
        <w:rPr>
          <w:rFonts w:hint="eastAsia"/>
          <w:highlight w:val="none"/>
        </w:rPr>
      </w:pPr>
    </w:p>
    <w:p w14:paraId="4CF6B66F">
      <w:pPr>
        <w:pStyle w:val="11"/>
        <w:numPr>
          <w:ilvl w:val="0"/>
          <w:numId w:val="4"/>
        </w:numPr>
        <w:spacing w:line="360" w:lineRule="auto"/>
        <w:jc w:val="left"/>
        <w:rPr>
          <w:rFonts w:asciiTheme="minorEastAsia" w:hAnsiTheme="minorEastAsia" w:eastAsiaTheme="minorEastAsia" w:cstheme="minorEastAsia"/>
          <w:b/>
          <w:bCs/>
          <w:snapToGrid w:val="0"/>
          <w:sz w:val="28"/>
          <w:szCs w:val="28"/>
          <w:highlight w:val="none"/>
        </w:rPr>
      </w:pPr>
      <w:r>
        <w:rPr>
          <w:rFonts w:hint="eastAsia" w:asciiTheme="minorEastAsia" w:hAnsiTheme="minorEastAsia" w:eastAsiaTheme="minorEastAsia" w:cstheme="minorEastAsia"/>
          <w:b/>
          <w:bCs/>
          <w:snapToGrid w:val="0"/>
          <w:sz w:val="28"/>
          <w:szCs w:val="28"/>
          <w:highlight w:val="none"/>
        </w:rPr>
        <w:t>技术标准、要求及图纸（对应招标文件 第五章）</w:t>
      </w:r>
    </w:p>
    <w:p w14:paraId="13A4111D">
      <w:pPr>
        <w:pStyle w:val="3"/>
        <w:rPr>
          <w:rFonts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rPr>
        <w:t>一、 管理规范和技术（规范）标准（详见合同附件）</w:t>
      </w:r>
    </w:p>
    <w:p w14:paraId="407339FF">
      <w:pPr>
        <w:pStyle w:val="11"/>
        <w:rPr>
          <w:rFonts w:asciiTheme="minorEastAsia" w:hAnsiTheme="minorEastAsia" w:eastAsiaTheme="minorEastAsia" w:cstheme="minorEastAsia"/>
          <w:iCs/>
          <w:sz w:val="24"/>
          <w:szCs w:val="24"/>
          <w:highlight w:val="none"/>
        </w:rPr>
      </w:pPr>
    </w:p>
    <w:p w14:paraId="712DD345">
      <w:pPr>
        <w:pStyle w:val="3"/>
        <w:rPr>
          <w:rFonts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rPr>
        <w:t>二、技术及管理要求</w:t>
      </w:r>
    </w:p>
    <w:p w14:paraId="4422209C">
      <w:pPr>
        <w:autoSpaceDE w:val="0"/>
        <w:autoSpaceDN w:val="0"/>
        <w:adjustRightInd w:val="0"/>
        <w:rPr>
          <w:rFonts w:asciiTheme="minorEastAsia" w:hAnsiTheme="minorEastAsia" w:eastAsiaTheme="minorEastAsia" w:cstheme="minorEastAsia"/>
          <w:iCs/>
          <w:kern w:val="0"/>
          <w:sz w:val="24"/>
          <w:szCs w:val="24"/>
          <w:highlight w:val="none"/>
          <w:lang w:val="zh-CN"/>
        </w:rPr>
      </w:pPr>
      <w:r>
        <w:rPr>
          <w:rFonts w:hint="eastAsia" w:asciiTheme="minorEastAsia" w:hAnsiTheme="minorEastAsia" w:eastAsiaTheme="minorEastAsia" w:cstheme="minorEastAsia"/>
          <w:iCs/>
          <w:kern w:val="0"/>
          <w:sz w:val="24"/>
          <w:szCs w:val="24"/>
          <w:highlight w:val="none"/>
          <w:lang w:val="zh-CN"/>
        </w:rPr>
        <w:t>（一）满足南方电网公司基建管理制度、建设单位的质量、环境和职业健康安全管理体系文件、其他有关制度和规定。</w:t>
      </w:r>
    </w:p>
    <w:p w14:paraId="74237E40">
      <w:pPr>
        <w:pStyle w:val="11"/>
        <w:spacing w:line="360" w:lineRule="auto"/>
        <w:jc w:val="left"/>
        <w:rPr>
          <w:rFonts w:asciiTheme="minorEastAsia" w:hAnsiTheme="minorEastAsia" w:eastAsiaTheme="minorEastAsia" w:cstheme="minorEastAsia"/>
          <w:b/>
          <w:bCs/>
          <w:snapToGrid w:val="0"/>
          <w:sz w:val="28"/>
          <w:szCs w:val="28"/>
          <w:highlight w:val="none"/>
        </w:rPr>
      </w:pPr>
    </w:p>
    <w:p w14:paraId="74A35A45">
      <w:pPr>
        <w:rPr>
          <w:rFonts w:ascii="宋体" w:hAnsi="宋体" w:cs="宋体"/>
          <w:sz w:val="24"/>
          <w:szCs w:val="24"/>
          <w:highlight w:val="none"/>
          <w:u w:val="single"/>
        </w:rPr>
      </w:pPr>
    </w:p>
    <w:p w14:paraId="3E8A8A78">
      <w:pPr>
        <w:pStyle w:val="11"/>
        <w:spacing w:line="480" w:lineRule="atLeast"/>
        <w:rPr>
          <w:rFonts w:hAnsi="宋体" w:cs="宋体"/>
          <w:sz w:val="24"/>
          <w:szCs w:val="24"/>
          <w:highlight w:val="none"/>
          <w:u w:val="single"/>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AC93A0"/>
    <w:multiLevelType w:val="singleLevel"/>
    <w:tmpl w:val="DAAC93A0"/>
    <w:lvl w:ilvl="0" w:tentative="0">
      <w:start w:val="1"/>
      <w:numFmt w:val="decimal"/>
      <w:suff w:val="space"/>
      <w:lvlText w:val="%1."/>
      <w:lvlJc w:val="left"/>
    </w:lvl>
  </w:abstractNum>
  <w:abstractNum w:abstractNumId="1">
    <w:nsid w:val="EA6993E1"/>
    <w:multiLevelType w:val="singleLevel"/>
    <w:tmpl w:val="EA6993E1"/>
    <w:lvl w:ilvl="0" w:tentative="0">
      <w:start w:val="3"/>
      <w:numFmt w:val="chineseCounting"/>
      <w:suff w:val="nothing"/>
      <w:lvlText w:val="%1、"/>
      <w:lvlJc w:val="left"/>
      <w:rPr>
        <w:rFonts w:hint="eastAsia"/>
      </w:rPr>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24F737D8"/>
    <w:rsid w:val="00020759"/>
    <w:rsid w:val="00072293"/>
    <w:rsid w:val="001270A5"/>
    <w:rsid w:val="001E07C9"/>
    <w:rsid w:val="001E39E9"/>
    <w:rsid w:val="002A7CE7"/>
    <w:rsid w:val="00335E27"/>
    <w:rsid w:val="003423EE"/>
    <w:rsid w:val="003A0E2E"/>
    <w:rsid w:val="003F6189"/>
    <w:rsid w:val="00471646"/>
    <w:rsid w:val="004A6532"/>
    <w:rsid w:val="005A69F7"/>
    <w:rsid w:val="00631D2C"/>
    <w:rsid w:val="00633080"/>
    <w:rsid w:val="00660EF5"/>
    <w:rsid w:val="00690FF0"/>
    <w:rsid w:val="00755C37"/>
    <w:rsid w:val="007A4AD7"/>
    <w:rsid w:val="007E2BE5"/>
    <w:rsid w:val="007E76C5"/>
    <w:rsid w:val="008F272B"/>
    <w:rsid w:val="00AD5136"/>
    <w:rsid w:val="00B37178"/>
    <w:rsid w:val="00B76046"/>
    <w:rsid w:val="00B94A89"/>
    <w:rsid w:val="00C6026B"/>
    <w:rsid w:val="00C83946"/>
    <w:rsid w:val="00C96921"/>
    <w:rsid w:val="00CF0436"/>
    <w:rsid w:val="00CF2363"/>
    <w:rsid w:val="00CF56E3"/>
    <w:rsid w:val="00D07BA9"/>
    <w:rsid w:val="00D70B44"/>
    <w:rsid w:val="00DB1B49"/>
    <w:rsid w:val="00DB221F"/>
    <w:rsid w:val="00E01627"/>
    <w:rsid w:val="00E722BB"/>
    <w:rsid w:val="00F60CE9"/>
    <w:rsid w:val="00F822B7"/>
    <w:rsid w:val="014E1C7F"/>
    <w:rsid w:val="02257948"/>
    <w:rsid w:val="02A16AAA"/>
    <w:rsid w:val="04A24F71"/>
    <w:rsid w:val="060A17A5"/>
    <w:rsid w:val="076F3B3B"/>
    <w:rsid w:val="07CA37DF"/>
    <w:rsid w:val="094D5100"/>
    <w:rsid w:val="0B4A6210"/>
    <w:rsid w:val="0BC07002"/>
    <w:rsid w:val="0D7F3D43"/>
    <w:rsid w:val="0E2F4C02"/>
    <w:rsid w:val="0E3616E0"/>
    <w:rsid w:val="0E394169"/>
    <w:rsid w:val="0E545C90"/>
    <w:rsid w:val="0F81532F"/>
    <w:rsid w:val="107144D2"/>
    <w:rsid w:val="11052288"/>
    <w:rsid w:val="116419AD"/>
    <w:rsid w:val="11DF6CFE"/>
    <w:rsid w:val="13383335"/>
    <w:rsid w:val="14440D4B"/>
    <w:rsid w:val="14781EB9"/>
    <w:rsid w:val="14B666F3"/>
    <w:rsid w:val="14C83BBD"/>
    <w:rsid w:val="15056A61"/>
    <w:rsid w:val="15F83E40"/>
    <w:rsid w:val="16A26355"/>
    <w:rsid w:val="17722603"/>
    <w:rsid w:val="18E57496"/>
    <w:rsid w:val="195E3257"/>
    <w:rsid w:val="1A386933"/>
    <w:rsid w:val="1A4F176B"/>
    <w:rsid w:val="1B663F82"/>
    <w:rsid w:val="1B707F04"/>
    <w:rsid w:val="1C2D4629"/>
    <w:rsid w:val="1C43636C"/>
    <w:rsid w:val="1C8618B6"/>
    <w:rsid w:val="1D904223"/>
    <w:rsid w:val="1DA733EE"/>
    <w:rsid w:val="1F653C49"/>
    <w:rsid w:val="1FF914D4"/>
    <w:rsid w:val="20735046"/>
    <w:rsid w:val="20ED1C88"/>
    <w:rsid w:val="216F4D5B"/>
    <w:rsid w:val="21C11DC8"/>
    <w:rsid w:val="22D0017C"/>
    <w:rsid w:val="23B738BA"/>
    <w:rsid w:val="240A55A4"/>
    <w:rsid w:val="248832D0"/>
    <w:rsid w:val="24E67795"/>
    <w:rsid w:val="24F737D8"/>
    <w:rsid w:val="2525523D"/>
    <w:rsid w:val="26B52327"/>
    <w:rsid w:val="26EB3B6A"/>
    <w:rsid w:val="28924ADF"/>
    <w:rsid w:val="289A522D"/>
    <w:rsid w:val="291D5E51"/>
    <w:rsid w:val="2A033560"/>
    <w:rsid w:val="2BE07E0A"/>
    <w:rsid w:val="2C891D4F"/>
    <w:rsid w:val="2CA17C08"/>
    <w:rsid w:val="2CC8068E"/>
    <w:rsid w:val="2DDF66E3"/>
    <w:rsid w:val="2F317D0A"/>
    <w:rsid w:val="2FF65FF8"/>
    <w:rsid w:val="300D195C"/>
    <w:rsid w:val="30BF37B5"/>
    <w:rsid w:val="313B0851"/>
    <w:rsid w:val="31A1649A"/>
    <w:rsid w:val="31C37CD5"/>
    <w:rsid w:val="31C955A9"/>
    <w:rsid w:val="33B200AF"/>
    <w:rsid w:val="33C75702"/>
    <w:rsid w:val="33E61BE2"/>
    <w:rsid w:val="342B7E85"/>
    <w:rsid w:val="34696500"/>
    <w:rsid w:val="34DA1314"/>
    <w:rsid w:val="34FF11B8"/>
    <w:rsid w:val="361736AD"/>
    <w:rsid w:val="36D200CF"/>
    <w:rsid w:val="379951F8"/>
    <w:rsid w:val="37EE7FA1"/>
    <w:rsid w:val="38382DC3"/>
    <w:rsid w:val="38DE045C"/>
    <w:rsid w:val="391A38E9"/>
    <w:rsid w:val="3987396D"/>
    <w:rsid w:val="3ADC7F6B"/>
    <w:rsid w:val="3B595AEE"/>
    <w:rsid w:val="3BF24D81"/>
    <w:rsid w:val="3BFE7BEA"/>
    <w:rsid w:val="3C4750A3"/>
    <w:rsid w:val="3C4A35F1"/>
    <w:rsid w:val="3F4C5B70"/>
    <w:rsid w:val="41C0096A"/>
    <w:rsid w:val="420455E6"/>
    <w:rsid w:val="42E73C50"/>
    <w:rsid w:val="43586E3E"/>
    <w:rsid w:val="44982260"/>
    <w:rsid w:val="44D414C9"/>
    <w:rsid w:val="46472D5E"/>
    <w:rsid w:val="485D3F87"/>
    <w:rsid w:val="488E1C89"/>
    <w:rsid w:val="496A657E"/>
    <w:rsid w:val="49843C09"/>
    <w:rsid w:val="4AF4680A"/>
    <w:rsid w:val="4B3A1BDA"/>
    <w:rsid w:val="4BF83760"/>
    <w:rsid w:val="4C5B4768"/>
    <w:rsid w:val="4C8349B8"/>
    <w:rsid w:val="4D5667B6"/>
    <w:rsid w:val="4E992277"/>
    <w:rsid w:val="4F7A3537"/>
    <w:rsid w:val="4FC46F4F"/>
    <w:rsid w:val="500C6330"/>
    <w:rsid w:val="504766FD"/>
    <w:rsid w:val="50563967"/>
    <w:rsid w:val="5144269A"/>
    <w:rsid w:val="52561619"/>
    <w:rsid w:val="531F5433"/>
    <w:rsid w:val="55277F9E"/>
    <w:rsid w:val="552A0C96"/>
    <w:rsid w:val="55BB16B6"/>
    <w:rsid w:val="55C3156A"/>
    <w:rsid w:val="560A4CB8"/>
    <w:rsid w:val="5782183A"/>
    <w:rsid w:val="57BD355E"/>
    <w:rsid w:val="57D61B54"/>
    <w:rsid w:val="58886176"/>
    <w:rsid w:val="58BB4FFB"/>
    <w:rsid w:val="58D21C48"/>
    <w:rsid w:val="5AE90D4F"/>
    <w:rsid w:val="5B0320E2"/>
    <w:rsid w:val="5B1C20F0"/>
    <w:rsid w:val="5B736308"/>
    <w:rsid w:val="5B8B11A7"/>
    <w:rsid w:val="5B9E2EC4"/>
    <w:rsid w:val="5BD335FA"/>
    <w:rsid w:val="5CD10D7E"/>
    <w:rsid w:val="5F6A55B8"/>
    <w:rsid w:val="60002310"/>
    <w:rsid w:val="608606DE"/>
    <w:rsid w:val="610E324A"/>
    <w:rsid w:val="61F31EFD"/>
    <w:rsid w:val="63066BC7"/>
    <w:rsid w:val="63D0487B"/>
    <w:rsid w:val="64672037"/>
    <w:rsid w:val="64911DA0"/>
    <w:rsid w:val="65945D8D"/>
    <w:rsid w:val="66A441A9"/>
    <w:rsid w:val="66C32601"/>
    <w:rsid w:val="66C35559"/>
    <w:rsid w:val="67D57489"/>
    <w:rsid w:val="68570F93"/>
    <w:rsid w:val="6A287B5E"/>
    <w:rsid w:val="6B303A1A"/>
    <w:rsid w:val="6B36259F"/>
    <w:rsid w:val="6BE96870"/>
    <w:rsid w:val="6C4B4D57"/>
    <w:rsid w:val="6C704794"/>
    <w:rsid w:val="6C9C1C72"/>
    <w:rsid w:val="6DAA2FDF"/>
    <w:rsid w:val="6DF95579"/>
    <w:rsid w:val="6E121228"/>
    <w:rsid w:val="6EF42825"/>
    <w:rsid w:val="6F8447F5"/>
    <w:rsid w:val="70546D37"/>
    <w:rsid w:val="70D1495F"/>
    <w:rsid w:val="70ED510D"/>
    <w:rsid w:val="712F63C0"/>
    <w:rsid w:val="723627A3"/>
    <w:rsid w:val="72701938"/>
    <w:rsid w:val="72717CD1"/>
    <w:rsid w:val="73FB4CB6"/>
    <w:rsid w:val="743E1546"/>
    <w:rsid w:val="74614F7E"/>
    <w:rsid w:val="74695E39"/>
    <w:rsid w:val="754C6F3B"/>
    <w:rsid w:val="75B11AFF"/>
    <w:rsid w:val="75D32619"/>
    <w:rsid w:val="76307412"/>
    <w:rsid w:val="768D126A"/>
    <w:rsid w:val="779007FD"/>
    <w:rsid w:val="77B154F6"/>
    <w:rsid w:val="780B6A75"/>
    <w:rsid w:val="79F83E18"/>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3">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4">
    <w:name w:val="heading 3"/>
    <w:basedOn w:val="1"/>
    <w:next w:val="1"/>
    <w:semiHidden/>
    <w:unhideWhenUsed/>
    <w:qFormat/>
    <w:uiPriority w:val="0"/>
    <w:pPr>
      <w:keepNext/>
      <w:keepLines/>
      <w:spacing w:before="260" w:after="260" w:line="413" w:lineRule="auto"/>
      <w:outlineLvl w:val="2"/>
    </w:pPr>
    <w:rPr>
      <w:b/>
      <w:sz w:val="32"/>
    </w:rPr>
  </w:style>
  <w:style w:type="paragraph" w:styleId="5">
    <w:name w:val="heading 4"/>
    <w:basedOn w:val="1"/>
    <w:next w:val="1"/>
    <w:semiHidden/>
    <w:unhideWhenUsed/>
    <w:qFormat/>
    <w:uiPriority w:val="0"/>
    <w:pPr>
      <w:keepNext/>
      <w:keepLines/>
      <w:spacing w:before="280" w:after="290" w:line="372" w:lineRule="auto"/>
      <w:outlineLvl w:val="3"/>
    </w:pPr>
    <w:rPr>
      <w:rFonts w:ascii="Arial" w:hAnsi="Arial" w:eastAsia="黑体"/>
      <w:b/>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rFonts w:ascii="Times New Roman" w:hAnsi="Times New Roman"/>
      <w:kern w:val="0"/>
      <w:sz w:val="20"/>
      <w:szCs w:val="20"/>
    </w:rPr>
  </w:style>
  <w:style w:type="paragraph" w:styleId="7">
    <w:name w:val="annotation text"/>
    <w:basedOn w:val="1"/>
    <w:qFormat/>
    <w:uiPriority w:val="0"/>
    <w:pPr>
      <w:jc w:val="left"/>
    </w:pPr>
  </w:style>
  <w:style w:type="paragraph" w:styleId="8">
    <w:name w:val="Body Text"/>
    <w:basedOn w:val="1"/>
    <w:next w:val="9"/>
    <w:unhideWhenUsed/>
    <w:qFormat/>
    <w:uiPriority w:val="99"/>
    <w:pPr>
      <w:spacing w:after="120"/>
    </w:p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Body Text Indent"/>
    <w:basedOn w:val="1"/>
    <w:qFormat/>
    <w:uiPriority w:val="0"/>
    <w:pPr>
      <w:spacing w:after="120"/>
      <w:ind w:left="420" w:leftChars="200"/>
    </w:pPr>
  </w:style>
  <w:style w:type="paragraph" w:styleId="11">
    <w:name w:val="Plain Text"/>
    <w:basedOn w:val="1"/>
    <w:link w:val="25"/>
    <w:qFormat/>
    <w:uiPriority w:val="0"/>
    <w:rPr>
      <w:rFonts w:ascii="宋体" w:hAnsi="Courier New"/>
      <w:kern w:val="0"/>
      <w:sz w:val="20"/>
      <w:szCs w:val="20"/>
    </w:rPr>
  </w:style>
  <w:style w:type="paragraph" w:styleId="12">
    <w:name w:val="Balloon Text"/>
    <w:basedOn w:val="1"/>
    <w:link w:val="24"/>
    <w:qFormat/>
    <w:uiPriority w:val="0"/>
    <w:rPr>
      <w:sz w:val="18"/>
      <w:szCs w:val="18"/>
    </w:rPr>
  </w:style>
  <w:style w:type="paragraph" w:styleId="13">
    <w:name w:val="footer"/>
    <w:basedOn w:val="1"/>
    <w:link w:val="27"/>
    <w:qFormat/>
    <w:uiPriority w:val="0"/>
    <w:pPr>
      <w:tabs>
        <w:tab w:val="center" w:pos="4153"/>
        <w:tab w:val="right" w:pos="8306"/>
      </w:tabs>
      <w:snapToGrid w:val="0"/>
      <w:jc w:val="left"/>
    </w:pPr>
    <w:rPr>
      <w:sz w:val="18"/>
      <w:szCs w:val="18"/>
    </w:rPr>
  </w:style>
  <w:style w:type="paragraph" w:styleId="1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Autospacing="1" w:afterAutospacing="1"/>
      <w:jc w:val="left"/>
    </w:pPr>
    <w:rPr>
      <w:kern w:val="0"/>
      <w:sz w:val="24"/>
    </w:rPr>
  </w:style>
  <w:style w:type="paragraph" w:styleId="16">
    <w:name w:val="Body Text First Indent"/>
    <w:basedOn w:val="8"/>
    <w:qFormat/>
    <w:uiPriority w:val="0"/>
    <w:pPr>
      <w:spacing w:beforeLines="50" w:afterLines="50" w:line="360" w:lineRule="auto"/>
      <w:ind w:firstLine="200" w:firstLineChars="200"/>
    </w:pPr>
    <w:rPr>
      <w:rFonts w:ascii="Times New Roman" w:hAnsi="Times New Roman"/>
      <w:sz w:val="24"/>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qFormat/>
    <w:uiPriority w:val="0"/>
    <w:rPr>
      <w:sz w:val="21"/>
      <w:szCs w:val="21"/>
    </w:rPr>
  </w:style>
  <w:style w:type="paragraph" w:customStyle="1" w:styleId="21">
    <w:name w:val="目录 21"/>
    <w:basedOn w:val="1"/>
    <w:next w:val="1"/>
    <w:qFormat/>
    <w:uiPriority w:val="0"/>
    <w:pPr>
      <w:spacing w:before="100" w:beforeAutospacing="1" w:after="100" w:afterAutospacing="1"/>
      <w:ind w:left="420" w:leftChars="200"/>
    </w:pPr>
  </w:style>
  <w:style w:type="paragraph" w:customStyle="1" w:styleId="22">
    <w:name w:val="正文首行缩进1"/>
    <w:basedOn w:val="1"/>
    <w:qFormat/>
    <w:uiPriority w:val="0"/>
    <w:pPr>
      <w:spacing w:line="360" w:lineRule="auto"/>
      <w:ind w:firstLine="200" w:firstLineChars="200"/>
    </w:pPr>
    <w:rPr>
      <w:sz w:val="24"/>
      <w:szCs w:val="24"/>
    </w:rPr>
  </w:style>
  <w:style w:type="character" w:customStyle="1" w:styleId="23">
    <w:name w:val="font11"/>
    <w:basedOn w:val="19"/>
    <w:qFormat/>
    <w:uiPriority w:val="0"/>
    <w:rPr>
      <w:rFonts w:hint="eastAsia" w:ascii="宋体" w:hAnsi="宋体" w:eastAsia="宋体" w:cs="宋体"/>
      <w:color w:val="000000"/>
      <w:sz w:val="22"/>
      <w:szCs w:val="22"/>
      <w:u w:val="none"/>
    </w:rPr>
  </w:style>
  <w:style w:type="character" w:customStyle="1" w:styleId="24">
    <w:name w:val="批注框文本 字符"/>
    <w:basedOn w:val="19"/>
    <w:link w:val="12"/>
    <w:qFormat/>
    <w:uiPriority w:val="0"/>
    <w:rPr>
      <w:rFonts w:ascii="Calibri" w:hAnsi="Calibri"/>
      <w:kern w:val="2"/>
      <w:sz w:val="18"/>
      <w:szCs w:val="18"/>
    </w:rPr>
  </w:style>
  <w:style w:type="character" w:customStyle="1" w:styleId="25">
    <w:name w:val="纯文本 字符"/>
    <w:basedOn w:val="19"/>
    <w:link w:val="11"/>
    <w:qFormat/>
    <w:uiPriority w:val="99"/>
    <w:rPr>
      <w:rFonts w:ascii="宋体" w:hAnsi="Courier New"/>
    </w:rPr>
  </w:style>
  <w:style w:type="character" w:customStyle="1" w:styleId="26">
    <w:name w:val="页眉 字符"/>
    <w:basedOn w:val="19"/>
    <w:link w:val="14"/>
    <w:qFormat/>
    <w:uiPriority w:val="0"/>
    <w:rPr>
      <w:rFonts w:ascii="Calibri" w:hAnsi="Calibri"/>
      <w:kern w:val="2"/>
      <w:sz w:val="18"/>
      <w:szCs w:val="18"/>
    </w:rPr>
  </w:style>
  <w:style w:type="character" w:customStyle="1" w:styleId="27">
    <w:name w:val="页脚 字符"/>
    <w:basedOn w:val="19"/>
    <w:link w:val="13"/>
    <w:qFormat/>
    <w:uiPriority w:val="0"/>
    <w:rPr>
      <w:rFonts w:ascii="Calibri" w:hAnsi="Calibri"/>
      <w:kern w:val="2"/>
      <w:sz w:val="18"/>
      <w:szCs w:val="18"/>
    </w:rPr>
  </w:style>
  <w:style w:type="paragraph" w:styleId="2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GEDI</Company>
  <Pages>3</Pages>
  <Words>1075</Words>
  <Characters>1170</Characters>
  <Lines>23</Lines>
  <Paragraphs>6</Paragraphs>
  <TotalTime>5</TotalTime>
  <ScaleCrop>false</ScaleCrop>
  <LinksUpToDate>false</LinksUpToDate>
  <CharactersWithSpaces>1175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2024-07-16T04:36:00Z</dcterms:created>
  <dc:creator>maja</dc:creator>
  <cp:lastModifiedBy>马骏安</cp:lastModifiedBy>
  <cp:lastPrinted>2024-07-12T00:40:00Z</cp:lastPrinted>
  <dcterms:modified xsi:type="dcterms:W3CDTF">2025-09-08T03:02:54Z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864C052D15A34732A2886E19CE441D4D</vt:lpwstr>
  </property>
  <property fmtid="{D5CDD505-2E9C-101B-9397-08002B2CF9AE}" pid="4" name="KSOTemplateDocerSaveRecord">
    <vt:lpwstr>eyJoZGlkIjoiNTgxZTFhMGEzMzMzZWM2ZGRjOTQxOGZiYTFhYTNlNWYiLCJ1c2VySWQiOiI3MDM5OTYzMzMifQ==</vt:lpwstr>
  </property>
</Properties>
</file>