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014D4">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snapToGrid w:val="0"/>
          <w:color w:val="auto"/>
          <w:kern w:val="0"/>
          <w:sz w:val="32"/>
          <w:szCs w:val="32"/>
          <w:highlight w:val="none"/>
          <w:u w:val="none"/>
          <w:lang w:val="en-US" w:eastAsia="zh-CN"/>
        </w:rPr>
      </w:pPr>
      <w:bookmarkStart w:id="0" w:name="_Toc8445"/>
      <w:r>
        <w:rPr>
          <w:rFonts w:hint="default" w:ascii="Times New Roman" w:hAnsi="Times New Roman" w:cs="Times New Roman" w:eastAsiaTheme="minorEastAsia"/>
          <w:b/>
          <w:bCs/>
          <w:snapToGrid w:val="0"/>
          <w:color w:val="auto"/>
          <w:kern w:val="0"/>
          <w:sz w:val="32"/>
          <w:szCs w:val="32"/>
          <w:highlight w:val="none"/>
          <w:u w:val="none"/>
          <w:lang w:val="en-US" w:eastAsia="zh-CN"/>
        </w:rPr>
        <w:t>附件A.项目信息清单</w:t>
      </w:r>
      <w:r>
        <w:rPr>
          <w:rFonts w:hint="default" w:ascii="Times New Roman" w:hAnsi="Times New Roman" w:cs="Times New Roman" w:eastAsiaTheme="minorEastAsia"/>
          <w:b/>
          <w:bCs/>
          <w:snapToGrid w:val="0"/>
          <w:color w:val="auto"/>
          <w:kern w:val="0"/>
          <w:sz w:val="28"/>
          <w:szCs w:val="28"/>
          <w:highlight w:val="none"/>
          <w:u w:val="none"/>
          <w:lang w:val="en-US" w:eastAsia="zh-CN"/>
        </w:rPr>
        <w:t>（</w:t>
      </w:r>
      <w:r>
        <w:rPr>
          <w:rFonts w:hint="eastAsia" w:ascii="Times New Roman" w:hAnsi="Times New Roman" w:cs="Times New Roman" w:eastAsiaTheme="minorEastAsia"/>
          <w:b/>
          <w:bCs/>
          <w:snapToGrid w:val="0"/>
          <w:color w:val="auto"/>
          <w:kern w:val="0"/>
          <w:sz w:val="32"/>
          <w:szCs w:val="32"/>
          <w:highlight w:val="none"/>
          <w:u w:val="none"/>
          <w:lang w:val="en-US" w:eastAsia="zh-CN"/>
        </w:rPr>
        <w:t>标的2</w:t>
      </w:r>
      <w:r>
        <w:rPr>
          <w:rFonts w:hint="default" w:ascii="Times New Roman" w:hAnsi="Times New Roman" w:cs="Times New Roman" w:eastAsiaTheme="minorEastAsia"/>
          <w:b/>
          <w:bCs/>
          <w:snapToGrid w:val="0"/>
          <w:color w:val="auto"/>
          <w:kern w:val="0"/>
          <w:sz w:val="32"/>
          <w:szCs w:val="32"/>
          <w:highlight w:val="none"/>
          <w:u w:val="none"/>
          <w:lang w:val="en-US" w:eastAsia="zh-CN"/>
        </w:rPr>
        <w:t>标包1.奥林220千伏出线工程二期（隧道土建部分）代建服务项目</w:t>
      </w:r>
      <w:r>
        <w:rPr>
          <w:rFonts w:hint="default" w:ascii="Times New Roman" w:hAnsi="Times New Roman" w:cs="Times New Roman" w:eastAsiaTheme="minorEastAsia"/>
          <w:b/>
          <w:bCs/>
          <w:snapToGrid w:val="0"/>
          <w:color w:val="auto"/>
          <w:kern w:val="0"/>
          <w:sz w:val="28"/>
          <w:szCs w:val="28"/>
          <w:highlight w:val="none"/>
          <w:u w:val="none"/>
          <w:lang w:val="en-US" w:eastAsia="zh-CN"/>
        </w:rPr>
        <w:t>）</w:t>
      </w:r>
    </w:p>
    <w:bookmarkEnd w:id="0"/>
    <w:p w14:paraId="4BA55004">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color w:val="auto"/>
          <w:sz w:val="28"/>
          <w:szCs w:val="28"/>
          <w:highlight w:val="none"/>
          <w:u w:val="none"/>
          <w:lang w:val="en-US" w:eastAsia="zh-CN"/>
        </w:rPr>
      </w:pPr>
      <w:r>
        <w:rPr>
          <w:rFonts w:hint="default" w:ascii="Times New Roman" w:hAnsi="Times New Roman" w:cs="Times New Roman" w:eastAsiaTheme="minorEastAsia"/>
          <w:b/>
          <w:bCs/>
          <w:snapToGrid w:val="0"/>
          <w:color w:val="auto"/>
          <w:kern w:val="0"/>
          <w:sz w:val="28"/>
          <w:szCs w:val="28"/>
          <w:highlight w:val="none"/>
          <w:u w:val="none"/>
          <w:lang w:val="en-US" w:eastAsia="zh-CN"/>
        </w:rPr>
        <w:t>项目信息</w:t>
      </w:r>
    </w:p>
    <w:p w14:paraId="5917613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bCs/>
          <w:color w:val="auto"/>
          <w:sz w:val="24"/>
          <w:szCs w:val="24"/>
          <w:highlight w:val="none"/>
          <w:u w:val="none"/>
          <w:lang w:val="en-US" w:eastAsia="zh-CN"/>
        </w:rPr>
      </w:pPr>
      <w:r>
        <w:rPr>
          <w:rFonts w:hint="default" w:ascii="Times New Roman" w:hAnsi="Times New Roman" w:cs="Times New Roman" w:eastAsiaTheme="minorEastAsia"/>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58FE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23F6277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序号</w:t>
            </w:r>
          </w:p>
        </w:tc>
        <w:tc>
          <w:tcPr>
            <w:tcW w:w="3783" w:type="dxa"/>
            <w:noWrap w:val="0"/>
            <w:vAlign w:val="top"/>
          </w:tcPr>
          <w:p w14:paraId="0DFED47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文件名称</w:t>
            </w:r>
          </w:p>
        </w:tc>
        <w:tc>
          <w:tcPr>
            <w:tcW w:w="5250" w:type="dxa"/>
            <w:noWrap w:val="0"/>
            <w:vAlign w:val="top"/>
          </w:tcPr>
          <w:p w14:paraId="0DA6BAB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文件文号</w:t>
            </w:r>
          </w:p>
        </w:tc>
      </w:tr>
      <w:tr w14:paraId="0A1D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0D6711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1506677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项目立项(可研批复)文号</w:t>
            </w:r>
          </w:p>
        </w:tc>
        <w:tc>
          <w:tcPr>
            <w:tcW w:w="5250" w:type="dxa"/>
            <w:noWrap w:val="0"/>
            <w:vAlign w:val="center"/>
          </w:tcPr>
          <w:p w14:paraId="4207E75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广供电基〔2024〕104号</w:t>
            </w:r>
          </w:p>
          <w:p w14:paraId="6BA47C8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p>
        </w:tc>
      </w:tr>
      <w:tr w14:paraId="1E0F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439617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469D346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4175985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已落实，广供电资〔2025〕3 号</w:t>
            </w:r>
          </w:p>
          <w:p w14:paraId="4015884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XXXX〔20**〕 **号</w:t>
            </w:r>
          </w:p>
          <w:p w14:paraId="2B7457A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p>
        </w:tc>
      </w:tr>
      <w:tr w14:paraId="07BD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44B2A3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433D4A2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56DF95B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广东电网有限责任公司广州供电局</w:t>
            </w:r>
          </w:p>
        </w:tc>
      </w:tr>
      <w:tr w14:paraId="7A48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56A5D7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7545FF0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6E45C74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广州市天河区</w:t>
            </w:r>
          </w:p>
        </w:tc>
      </w:tr>
      <w:tr w14:paraId="26B8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exact"/>
          <w:jc w:val="center"/>
        </w:trPr>
        <w:tc>
          <w:tcPr>
            <w:tcW w:w="776" w:type="dxa"/>
            <w:noWrap w:val="0"/>
            <w:vAlign w:val="center"/>
          </w:tcPr>
          <w:p w14:paraId="0069F7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1DE4901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服务期</w:t>
            </w:r>
          </w:p>
        </w:tc>
        <w:tc>
          <w:tcPr>
            <w:tcW w:w="5250" w:type="dxa"/>
            <w:noWrap w:val="0"/>
            <w:vAlign w:val="center"/>
          </w:tcPr>
          <w:p w14:paraId="1B904C5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Times New Roman" w:hAnsi="Times New Roman" w:cs="Times New Roman" w:eastAsiaTheme="minorEastAsia"/>
                <w:bCs/>
                <w:color w:val="auto"/>
                <w:kern w:val="0"/>
                <w:sz w:val="21"/>
                <w:szCs w:val="21"/>
                <w:highlight w:val="none"/>
                <w:u w:val="no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合同签订之日起至</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2027</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年</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12</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月</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30</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日，实际服务期以委托函上载明的时间为准。</w:t>
            </w:r>
          </w:p>
        </w:tc>
      </w:tr>
    </w:tbl>
    <w:p w14:paraId="19A57466">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bCs/>
          <w:color w:val="auto"/>
          <w:sz w:val="24"/>
          <w:szCs w:val="24"/>
          <w:highlight w:val="none"/>
          <w:u w:val="none"/>
          <w:lang w:val="en-US" w:eastAsia="zh-CN"/>
        </w:rPr>
      </w:pPr>
      <w:r>
        <w:rPr>
          <w:rFonts w:hint="default" w:ascii="Times New Roman" w:hAnsi="Times New Roman" w:cs="Times New Roman" w:eastAsiaTheme="minorEastAsia"/>
          <w:b/>
          <w:bCs/>
          <w:color w:val="auto"/>
          <w:sz w:val="24"/>
          <w:szCs w:val="24"/>
          <w:highlight w:val="none"/>
          <w:u w:val="none"/>
          <w:lang w:val="en-US" w:eastAsia="zh-CN"/>
        </w:rPr>
        <w:t>一、项目概况</w:t>
      </w:r>
    </w:p>
    <w:p w14:paraId="0983D9C0">
      <w:pPr>
        <w:keepNext w:val="0"/>
        <w:keepLines w:val="0"/>
        <w:pageBreakBefore w:val="0"/>
        <w:widowControl w:val="0"/>
        <w:kinsoku/>
        <w:wordWrap/>
        <w:overflowPunct/>
        <w:topLinePunct w:val="0"/>
        <w:bidi w:val="0"/>
        <w:snapToGrid/>
        <w:spacing w:before="157" w:beforeLines="50" w:after="157" w:afterLines="50" w:line="480" w:lineRule="auto"/>
        <w:ind w:firstLine="482" w:firstLineChars="200"/>
        <w:textAlignment w:val="auto"/>
        <w:rPr>
          <w:rFonts w:hint="default" w:ascii="Times New Roman" w:hAnsi="Times New Roman" w:cs="Times New Roman" w:eastAsiaTheme="minorEastAsia"/>
          <w:b/>
          <w:bCs/>
          <w:i w:val="0"/>
          <w:iCs/>
          <w:color w:val="auto"/>
          <w:kern w:val="2"/>
          <w:sz w:val="24"/>
          <w:szCs w:val="24"/>
          <w:highlight w:val="none"/>
          <w:u w:val="single"/>
          <w:lang w:val="en-US" w:eastAsia="zh-CN" w:bidi="ar-SA"/>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※隧道工程：</w:t>
      </w:r>
    </w:p>
    <w:p w14:paraId="41F6D26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480" w:firstLineChars="200"/>
        <w:jc w:val="both"/>
        <w:textAlignment w:val="auto"/>
        <w:rPr>
          <w:rFonts w:hint="default" w:ascii="Times New Roman" w:hAnsi="Times New Roman" w:cs="Times New Roman" w:eastAsiaTheme="minorEastAsia"/>
          <w:b w:val="0"/>
          <w:i w:val="0"/>
          <w:color w:val="000000"/>
          <w:sz w:val="24"/>
          <w:szCs w:val="24"/>
          <w:highlight w:val="none"/>
          <w:u w:val="single"/>
          <w:lang w:val="en-US" w:eastAsia="zh-CN"/>
        </w:rPr>
      </w:pPr>
      <w:r>
        <w:rPr>
          <w:rFonts w:hint="default" w:ascii="Times New Roman" w:hAnsi="Times New Roman" w:cs="Times New Roman" w:eastAsiaTheme="minorEastAsia"/>
          <w:b w:val="0"/>
          <w:i w:val="0"/>
          <w:color w:val="000000"/>
          <w:sz w:val="24"/>
          <w:szCs w:val="24"/>
          <w:highlight w:val="none"/>
          <w:u w:val="single"/>
          <w:lang w:val="en-US" w:eastAsia="zh-CN"/>
        </w:rPr>
        <w:t>1.新建220kV棠下至奥林电力隧道自棠下变电站1#工作井沿广园快速路南侧道路绿化带向东至天茂路与广园快速交叉口7#工作井，该段新建电力隧道长度约为4.76千米。隧道采用盾构型式，断面采用内径3.5m，</w:t>
      </w:r>
      <w:r>
        <w:rPr>
          <w:rFonts w:hint="default" w:ascii="Times New Roman" w:hAnsi="Times New Roman" w:cs="Times New Roman" w:eastAsiaTheme="minorEastAsia"/>
          <w:b w:val="0"/>
          <w:i w:val="0"/>
          <w:color w:val="000000"/>
          <w:sz w:val="24"/>
          <w:szCs w:val="24"/>
          <w:highlight w:val="none"/>
          <w:u w:val="single"/>
        </w:rPr>
        <w:t>隧道管容</w:t>
      </w:r>
      <w:r>
        <w:rPr>
          <w:rFonts w:hint="default" w:ascii="Times New Roman" w:hAnsi="Times New Roman" w:cs="Times New Roman" w:eastAsiaTheme="minorEastAsia"/>
          <w:b w:val="0"/>
          <w:i w:val="0"/>
          <w:color w:val="000000"/>
          <w:sz w:val="24"/>
          <w:szCs w:val="24"/>
          <w:highlight w:val="none"/>
          <w:u w:val="single"/>
          <w:lang w:val="en-US" w:eastAsia="zh-CN"/>
        </w:rPr>
        <w:t>6</w:t>
      </w:r>
      <w:r>
        <w:rPr>
          <w:rFonts w:hint="default" w:ascii="Times New Roman" w:hAnsi="Times New Roman" w:cs="Times New Roman" w:eastAsiaTheme="minorEastAsia"/>
          <w:b w:val="0"/>
          <w:i w:val="0"/>
          <w:color w:val="000000"/>
          <w:sz w:val="24"/>
          <w:szCs w:val="24"/>
          <w:highlight w:val="none"/>
          <w:u w:val="single"/>
        </w:rPr>
        <w:t>回</w:t>
      </w:r>
      <w:r>
        <w:rPr>
          <w:rFonts w:hint="default" w:ascii="Times New Roman" w:hAnsi="Times New Roman" w:cs="Times New Roman" w:eastAsiaTheme="minorEastAsia"/>
          <w:b w:val="0"/>
          <w:i w:val="0"/>
          <w:color w:val="000000"/>
          <w:sz w:val="24"/>
          <w:szCs w:val="24"/>
          <w:highlight w:val="none"/>
          <w:u w:val="single"/>
          <w:lang w:val="en-US" w:eastAsia="zh-CN"/>
        </w:rPr>
        <w:t>22</w:t>
      </w:r>
      <w:r>
        <w:rPr>
          <w:rFonts w:hint="default" w:ascii="Times New Roman" w:hAnsi="Times New Roman" w:cs="Times New Roman" w:eastAsiaTheme="minorEastAsia"/>
          <w:b w:val="0"/>
          <w:i w:val="0"/>
          <w:color w:val="000000"/>
          <w:sz w:val="24"/>
          <w:szCs w:val="24"/>
          <w:highlight w:val="none"/>
          <w:u w:val="single"/>
        </w:rPr>
        <w:t>0kV</w:t>
      </w:r>
      <w:r>
        <w:rPr>
          <w:rFonts w:hint="default" w:ascii="Times New Roman" w:hAnsi="Times New Roman" w:cs="Times New Roman" w:eastAsiaTheme="minorEastAsia"/>
          <w:b w:val="0"/>
          <w:i w:val="0"/>
          <w:color w:val="000000"/>
          <w:sz w:val="24"/>
          <w:szCs w:val="24"/>
          <w:highlight w:val="none"/>
          <w:u w:val="single"/>
          <w:lang w:val="en-US" w:eastAsia="zh-CN"/>
        </w:rPr>
        <w:t>+4回110kV线路</w:t>
      </w:r>
      <w:r>
        <w:rPr>
          <w:rFonts w:hint="default" w:ascii="Times New Roman" w:hAnsi="Times New Roman" w:cs="Times New Roman" w:eastAsiaTheme="minorEastAsia"/>
          <w:b w:val="0"/>
          <w:i w:val="0"/>
          <w:color w:val="000000"/>
          <w:sz w:val="24"/>
          <w:szCs w:val="24"/>
          <w:highlight w:val="none"/>
          <w:u w:val="single"/>
          <w:lang w:eastAsia="zh-CN"/>
        </w:rPr>
        <w:t>。</w:t>
      </w:r>
    </w:p>
    <w:p w14:paraId="5E8CD58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480" w:firstLineChars="200"/>
        <w:jc w:val="both"/>
        <w:textAlignment w:val="auto"/>
        <w:rPr>
          <w:rFonts w:hint="default" w:ascii="Times New Roman" w:hAnsi="Times New Roman" w:cs="Times New Roman" w:eastAsiaTheme="minorEastAsia"/>
          <w:b w:val="0"/>
          <w:i w:val="0"/>
          <w:color w:val="000000"/>
          <w:sz w:val="24"/>
          <w:szCs w:val="24"/>
          <w:highlight w:val="none"/>
          <w:u w:val="single"/>
          <w:lang w:val="en-US" w:eastAsia="zh-CN"/>
        </w:rPr>
      </w:pPr>
      <w:r>
        <w:rPr>
          <w:rFonts w:hint="default" w:ascii="Times New Roman" w:hAnsi="Times New Roman" w:cs="Times New Roman" w:eastAsiaTheme="minorEastAsia"/>
          <w:b w:val="0"/>
          <w:i w:val="0"/>
          <w:color w:val="000000"/>
          <w:sz w:val="24"/>
          <w:szCs w:val="24"/>
          <w:highlight w:val="none"/>
          <w:u w:val="single"/>
          <w:lang w:val="en-US" w:eastAsia="zh-CN"/>
        </w:rPr>
        <w:t>2.新建220kV奥林至碧山电力隧道自奥林变电站8#工作井沿天茂路东侧绿化带拐入广园快速路南侧道路绿化带，向东至丰乐北路与广园快速交叉口东北角 13#工作井，该段新建电力隧道长度约为4.83千米,隧道采用盾构型式，断面采用内径3.5m，</w:t>
      </w:r>
      <w:r>
        <w:rPr>
          <w:rFonts w:hint="default" w:ascii="Times New Roman" w:hAnsi="Times New Roman" w:cs="Times New Roman" w:eastAsiaTheme="minorEastAsia"/>
          <w:b w:val="0"/>
          <w:i w:val="0"/>
          <w:color w:val="000000"/>
          <w:sz w:val="24"/>
          <w:szCs w:val="24"/>
          <w:highlight w:val="none"/>
          <w:u w:val="single"/>
        </w:rPr>
        <w:t>隧道管容</w:t>
      </w:r>
      <w:r>
        <w:rPr>
          <w:rFonts w:hint="default" w:ascii="Times New Roman" w:hAnsi="Times New Roman" w:cs="Times New Roman" w:eastAsiaTheme="minorEastAsia"/>
          <w:b w:val="0"/>
          <w:i w:val="0"/>
          <w:color w:val="000000"/>
          <w:sz w:val="24"/>
          <w:szCs w:val="24"/>
          <w:highlight w:val="none"/>
          <w:u w:val="single"/>
          <w:lang w:val="en-US" w:eastAsia="zh-CN"/>
        </w:rPr>
        <w:t>6</w:t>
      </w:r>
      <w:r>
        <w:rPr>
          <w:rFonts w:hint="default" w:ascii="Times New Roman" w:hAnsi="Times New Roman" w:cs="Times New Roman" w:eastAsiaTheme="minorEastAsia"/>
          <w:b w:val="0"/>
          <w:i w:val="0"/>
          <w:color w:val="000000"/>
          <w:sz w:val="24"/>
          <w:szCs w:val="24"/>
          <w:highlight w:val="none"/>
          <w:u w:val="single"/>
        </w:rPr>
        <w:t>回</w:t>
      </w:r>
      <w:r>
        <w:rPr>
          <w:rFonts w:hint="default" w:ascii="Times New Roman" w:hAnsi="Times New Roman" w:cs="Times New Roman" w:eastAsiaTheme="minorEastAsia"/>
          <w:b w:val="0"/>
          <w:i w:val="0"/>
          <w:color w:val="000000"/>
          <w:sz w:val="24"/>
          <w:szCs w:val="24"/>
          <w:highlight w:val="none"/>
          <w:u w:val="single"/>
          <w:lang w:val="en-US" w:eastAsia="zh-CN"/>
        </w:rPr>
        <w:t>22</w:t>
      </w:r>
      <w:r>
        <w:rPr>
          <w:rFonts w:hint="default" w:ascii="Times New Roman" w:hAnsi="Times New Roman" w:cs="Times New Roman" w:eastAsiaTheme="minorEastAsia"/>
          <w:b w:val="0"/>
          <w:i w:val="0"/>
          <w:color w:val="000000"/>
          <w:sz w:val="24"/>
          <w:szCs w:val="24"/>
          <w:highlight w:val="none"/>
          <w:u w:val="single"/>
        </w:rPr>
        <w:t>0kV</w:t>
      </w:r>
      <w:r>
        <w:rPr>
          <w:rFonts w:hint="default" w:ascii="Times New Roman" w:hAnsi="Times New Roman" w:cs="Times New Roman" w:eastAsiaTheme="minorEastAsia"/>
          <w:b w:val="0"/>
          <w:i w:val="0"/>
          <w:color w:val="000000"/>
          <w:sz w:val="24"/>
          <w:szCs w:val="24"/>
          <w:highlight w:val="none"/>
          <w:u w:val="single"/>
          <w:lang w:val="en-US" w:eastAsia="zh-CN"/>
        </w:rPr>
        <w:t>+4回110kV</w:t>
      </w:r>
      <w:r>
        <w:rPr>
          <w:rFonts w:hint="default" w:ascii="Times New Roman" w:hAnsi="Times New Roman" w:cs="Times New Roman" w:eastAsiaTheme="minorEastAsia"/>
          <w:b w:val="0"/>
          <w:i w:val="0"/>
          <w:color w:val="000000"/>
          <w:sz w:val="24"/>
          <w:szCs w:val="24"/>
          <w:highlight w:val="none"/>
          <w:u w:val="single"/>
          <w:lang w:eastAsia="zh-CN"/>
        </w:rPr>
        <w:t>。</w:t>
      </w:r>
      <w:r>
        <w:rPr>
          <w:rFonts w:hint="default" w:ascii="Times New Roman" w:hAnsi="Times New Roman" w:cs="Times New Roman" w:eastAsiaTheme="minorEastAsia"/>
          <w:b w:val="0"/>
          <w:i w:val="0"/>
          <w:color w:val="000000"/>
          <w:sz w:val="24"/>
          <w:szCs w:val="24"/>
          <w:highlight w:val="none"/>
          <w:u w:val="single"/>
          <w:lang w:val="en-US" w:eastAsia="zh-CN"/>
        </w:rPr>
        <w:t>奥林站内明挖隧道长度约20米，横断面尺寸为3300宽×3400mm高，管容6回220kV线路。</w:t>
      </w:r>
    </w:p>
    <w:p w14:paraId="00AB543A">
      <w:pPr>
        <w:keepNext w:val="0"/>
        <w:keepLines w:val="0"/>
        <w:pageBreakBefore w:val="0"/>
        <w:widowControl w:val="0"/>
        <w:kinsoku/>
        <w:wordWrap/>
        <w:overflowPunct/>
        <w:topLinePunct w:val="0"/>
        <w:bidi w:val="0"/>
        <w:snapToGrid/>
        <w:spacing w:before="157" w:beforeLines="50" w:after="157" w:afterLines="50" w:line="480" w:lineRule="auto"/>
        <w:ind w:firstLine="480" w:firstLineChars="200"/>
        <w:textAlignment w:val="auto"/>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具体规模以施工图为准。</w:t>
      </w:r>
    </w:p>
    <w:p w14:paraId="63DB25FB">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none"/>
          <w:lang w:val="en-US" w:eastAsia="zh-CN" w:bidi="ar-SA"/>
        </w:rPr>
      </w:pPr>
      <w:r>
        <w:rPr>
          <w:rFonts w:hint="default" w:ascii="Times New Roman" w:hAnsi="Times New Roman" w:cs="Times New Roman" w:eastAsiaTheme="minorEastAsia"/>
          <w:b/>
          <w:bCs/>
          <w:i w:val="0"/>
          <w:color w:val="auto"/>
          <w:kern w:val="2"/>
          <w:sz w:val="24"/>
          <w:szCs w:val="24"/>
          <w:highlight w:val="none"/>
          <w:u w:val="none"/>
          <w:lang w:val="en-US" w:eastAsia="zh-CN" w:bidi="ar-SA"/>
        </w:rPr>
        <w:t>二、采购范围</w:t>
      </w:r>
    </w:p>
    <w:p w14:paraId="4D69F4B1">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 xml:space="preserve">  </w:t>
      </w:r>
      <w:r>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t xml:space="preserve">  </w:t>
      </w: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 xml:space="preserve">从项目初步设计开始至项目竣工验收、工程结算、竣工财务决算、移交和保修期结束之日止的建设统筹管理，在项目实施阶段，进行设计管理、招标管理、采购管理、施工管理、投资控制和竣工验收等工作（包括项目实施过程中可能出现的因规模及费用变更而导致的可研、初设调整工作），并对工程项目进行安全、质量、进度、投资、合同、信息等方面的全面管理和控制，直到办理竣工验收手续、工程结算和竣工财务决算、资产移交建设单位实施过程的建设管理工作及各种建设、施工手续的办理工作。                                     </w:t>
      </w:r>
    </w:p>
    <w:p w14:paraId="3CC299B7">
      <w:pPr>
        <w:pStyle w:val="3"/>
        <w:keepNext w:val="0"/>
        <w:keepLines w:val="0"/>
        <w:pageBreakBefore w:val="0"/>
        <w:numPr>
          <w:ilvl w:val="0"/>
          <w:numId w:val="2"/>
        </w:numPr>
        <w:kinsoku/>
        <w:wordWrap/>
        <w:overflowPunct/>
        <w:topLinePunct w:val="0"/>
        <w:bidi w:val="0"/>
        <w:spacing w:line="360" w:lineRule="auto"/>
        <w:outlineLvl w:val="1"/>
        <w:rPr>
          <w:rFonts w:hint="default" w:ascii="Times New Roman" w:hAnsi="Times New Roman" w:cs="Times New Roman" w:eastAsiaTheme="minorEastAsia"/>
          <w:b/>
          <w:bCs/>
          <w:i w:val="0"/>
          <w:color w:val="auto"/>
          <w:kern w:val="2"/>
          <w:sz w:val="24"/>
          <w:szCs w:val="24"/>
          <w:highlight w:val="none"/>
          <w:lang w:val="en-US" w:eastAsia="zh-CN" w:bidi="ar-SA"/>
        </w:rPr>
      </w:pPr>
      <w:r>
        <w:rPr>
          <w:rFonts w:hint="default" w:ascii="Times New Roman" w:hAnsi="Times New Roman" w:cs="Times New Roman" w:eastAsiaTheme="minorEastAsia"/>
          <w:b/>
          <w:bCs/>
          <w:i w:val="0"/>
          <w:color w:val="auto"/>
          <w:kern w:val="2"/>
          <w:sz w:val="24"/>
          <w:szCs w:val="24"/>
          <w:highlight w:val="none"/>
          <w:lang w:val="en-US" w:eastAsia="zh-CN" w:bidi="ar-SA"/>
        </w:rPr>
        <w:t>报价表及报价要求</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681"/>
        <w:gridCol w:w="1817"/>
        <w:gridCol w:w="1235"/>
        <w:gridCol w:w="1864"/>
        <w:gridCol w:w="1357"/>
      </w:tblGrid>
      <w:tr w14:paraId="6F12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tcBorders>
              <w:bottom w:val="single" w:color="auto" w:sz="4" w:space="0"/>
            </w:tcBorders>
            <w:noWrap w:val="0"/>
            <w:vAlign w:val="center"/>
          </w:tcPr>
          <w:p w14:paraId="1C27FC1F">
            <w:pPr>
              <w:tabs>
                <w:tab w:val="left" w:pos="900"/>
              </w:tabs>
              <w:snapToGrid w:val="0"/>
              <w:ind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序号</w:t>
            </w:r>
          </w:p>
        </w:tc>
        <w:tc>
          <w:tcPr>
            <w:tcW w:w="2681" w:type="dxa"/>
            <w:tcBorders>
              <w:bottom w:val="single" w:color="auto" w:sz="4" w:space="0"/>
            </w:tcBorders>
            <w:noWrap w:val="0"/>
            <w:vAlign w:val="center"/>
          </w:tcPr>
          <w:p w14:paraId="15C0819B">
            <w:pPr>
              <w:tabs>
                <w:tab w:val="left" w:pos="900"/>
              </w:tabs>
              <w:snapToGrid w:val="0"/>
              <w:ind w:left="282"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费用名称</w:t>
            </w:r>
          </w:p>
        </w:tc>
        <w:tc>
          <w:tcPr>
            <w:tcW w:w="1817" w:type="dxa"/>
            <w:noWrap w:val="0"/>
            <w:vAlign w:val="top"/>
          </w:tcPr>
          <w:p w14:paraId="40DD1BF6">
            <w:pPr>
              <w:tabs>
                <w:tab w:val="left" w:pos="900"/>
              </w:tabs>
              <w:snapToGrid w:val="0"/>
              <w:spacing w:before="120" w:after="120"/>
              <w:ind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最高投标限价(元)</w:t>
            </w:r>
          </w:p>
        </w:tc>
        <w:tc>
          <w:tcPr>
            <w:tcW w:w="1235" w:type="dxa"/>
            <w:tcBorders>
              <w:bottom w:val="single" w:color="auto" w:sz="4" w:space="0"/>
            </w:tcBorders>
            <w:noWrap w:val="0"/>
            <w:vAlign w:val="center"/>
          </w:tcPr>
          <w:p w14:paraId="6FA9B831">
            <w:pPr>
              <w:tabs>
                <w:tab w:val="left" w:pos="900"/>
              </w:tabs>
              <w:snapToGrid w:val="0"/>
              <w:spacing w:before="120" w:after="120"/>
              <w:ind w:right="-24"/>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eastAsiaTheme="minorEastAsia"/>
                <w:b w:val="0"/>
                <w:bCs/>
                <w:color w:val="auto"/>
                <w:highlight w:val="none"/>
              </w:rPr>
              <w:t>投标下浮率</w:t>
            </w:r>
            <w:r>
              <w:rPr>
                <w:rFonts w:hint="default" w:ascii="Times New Roman" w:hAnsi="Times New Roman" w:cs="Times New Roman" w:eastAsiaTheme="minorEastAsia"/>
                <w:b w:val="0"/>
                <w:bCs/>
                <w:color w:val="auto"/>
                <w:highlight w:val="none"/>
                <w:lang w:eastAsia="zh-CN"/>
              </w:rPr>
              <w:t>（</w:t>
            </w:r>
            <w:r>
              <w:rPr>
                <w:rFonts w:hint="default" w:ascii="Times New Roman" w:hAnsi="Times New Roman" w:cs="Times New Roman" w:eastAsiaTheme="minorEastAsia"/>
                <w:b w:val="0"/>
                <w:bCs/>
                <w:color w:val="auto"/>
                <w:highlight w:val="none"/>
                <w:lang w:val="en-US" w:eastAsia="zh-CN"/>
              </w:rPr>
              <w:t>%</w:t>
            </w:r>
            <w:r>
              <w:rPr>
                <w:rFonts w:hint="default" w:ascii="Times New Roman" w:hAnsi="Times New Roman" w:cs="Times New Roman" w:eastAsiaTheme="minorEastAsia"/>
                <w:b w:val="0"/>
                <w:bCs/>
                <w:color w:val="auto"/>
                <w:highlight w:val="none"/>
                <w:lang w:eastAsia="zh-CN"/>
              </w:rPr>
              <w:t>）</w:t>
            </w:r>
          </w:p>
        </w:tc>
        <w:tc>
          <w:tcPr>
            <w:tcW w:w="1864" w:type="dxa"/>
            <w:tcBorders>
              <w:bottom w:val="single" w:color="auto" w:sz="4" w:space="0"/>
            </w:tcBorders>
            <w:noWrap w:val="0"/>
            <w:vAlign w:val="top"/>
          </w:tcPr>
          <w:p w14:paraId="166AE928">
            <w:pPr>
              <w:tabs>
                <w:tab w:val="left" w:pos="900"/>
              </w:tabs>
              <w:snapToGrid w:val="0"/>
              <w:spacing w:before="120" w:after="120"/>
              <w:ind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kern w:val="0"/>
                <w:szCs w:val="21"/>
                <w:highlight w:val="none"/>
                <w:lang w:bidi="ar"/>
              </w:rPr>
              <w:t>投标报价</w:t>
            </w:r>
            <w:r>
              <w:rPr>
                <w:rFonts w:hint="default" w:ascii="Times New Roman" w:hAnsi="Times New Roman" w:cs="Times New Roman" w:eastAsiaTheme="minorEastAsia"/>
                <w:color w:val="auto"/>
                <w:highlight w:val="none"/>
              </w:rPr>
              <w:t>(元)</w:t>
            </w:r>
          </w:p>
        </w:tc>
        <w:tc>
          <w:tcPr>
            <w:tcW w:w="1357" w:type="dxa"/>
            <w:tcBorders>
              <w:bottom w:val="single" w:color="auto" w:sz="4" w:space="0"/>
            </w:tcBorders>
            <w:noWrap w:val="0"/>
            <w:vAlign w:val="center"/>
          </w:tcPr>
          <w:p w14:paraId="18BDA551">
            <w:pPr>
              <w:tabs>
                <w:tab w:val="left" w:pos="900"/>
              </w:tabs>
              <w:snapToGrid w:val="0"/>
              <w:spacing w:before="120" w:after="120"/>
              <w:ind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备注</w:t>
            </w:r>
          </w:p>
        </w:tc>
      </w:tr>
      <w:tr w14:paraId="26D5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tcBorders>
              <w:top w:val="single" w:color="auto" w:sz="4" w:space="0"/>
              <w:bottom w:val="single" w:color="auto" w:sz="4" w:space="0"/>
            </w:tcBorders>
            <w:noWrap w:val="0"/>
            <w:vAlign w:val="center"/>
          </w:tcPr>
          <w:p w14:paraId="500D8B36">
            <w:pPr>
              <w:tabs>
                <w:tab w:val="left" w:pos="900"/>
              </w:tabs>
              <w:snapToGrid w:val="0"/>
              <w:spacing w:before="60" w:after="120"/>
              <w:ind w:right="-24"/>
              <w:jc w:val="center"/>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w:t>
            </w:r>
          </w:p>
        </w:tc>
        <w:tc>
          <w:tcPr>
            <w:tcW w:w="2681" w:type="dxa"/>
            <w:tcBorders>
              <w:top w:val="single" w:color="auto" w:sz="4" w:space="0"/>
              <w:bottom w:val="single" w:color="auto" w:sz="4" w:space="0"/>
            </w:tcBorders>
            <w:noWrap w:val="0"/>
            <w:vAlign w:val="center"/>
          </w:tcPr>
          <w:p w14:paraId="7FB666C8">
            <w:pPr>
              <w:tabs>
                <w:tab w:val="left" w:pos="900"/>
              </w:tabs>
              <w:snapToGrid w:val="0"/>
              <w:spacing w:before="60" w:after="120"/>
              <w:ind w:right="-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奥林220千伏出线工程二期（隧道土建部分）代建服务项目</w:t>
            </w:r>
          </w:p>
        </w:tc>
        <w:tc>
          <w:tcPr>
            <w:tcW w:w="1817" w:type="dxa"/>
            <w:noWrap w:val="0"/>
            <w:vAlign w:val="center"/>
          </w:tcPr>
          <w:p w14:paraId="71DEBC7D">
            <w:pPr>
              <w:tabs>
                <w:tab w:val="left" w:pos="900"/>
              </w:tabs>
              <w:snapToGrid w:val="0"/>
              <w:spacing w:before="60" w:after="120"/>
              <w:ind w:right="-24"/>
              <w:jc w:val="center"/>
              <w:rPr>
                <w:rFonts w:hint="default" w:ascii="Times New Roman" w:hAnsi="Times New Roman" w:cs="Times New Roman" w:eastAsiaTheme="minorEastAsia"/>
                <w:color w:val="auto"/>
                <w:highlight w:val="none"/>
                <w:lang w:val="en-US" w:eastAsia="zh-CN"/>
              </w:rPr>
            </w:pPr>
            <w:r>
              <w:rPr>
                <w:rFonts w:hint="eastAsia" w:ascii="Times New Roman" w:hAnsi="Times New Roman" w:cs="Times New Roman" w:eastAsiaTheme="minorEastAsia"/>
                <w:color w:val="auto"/>
                <w:highlight w:val="none"/>
                <w:lang w:val="en-US" w:eastAsia="zh-CN"/>
              </w:rPr>
              <w:t>4625195.54</w:t>
            </w:r>
          </w:p>
        </w:tc>
        <w:tc>
          <w:tcPr>
            <w:tcW w:w="1235" w:type="dxa"/>
            <w:tcBorders>
              <w:top w:val="single" w:color="auto" w:sz="4" w:space="0"/>
              <w:bottom w:val="single" w:color="auto" w:sz="4" w:space="0"/>
            </w:tcBorders>
            <w:noWrap w:val="0"/>
            <w:vAlign w:val="center"/>
          </w:tcPr>
          <w:p w14:paraId="145F2C49">
            <w:pPr>
              <w:tabs>
                <w:tab w:val="left" w:pos="900"/>
              </w:tabs>
              <w:snapToGrid w:val="0"/>
              <w:spacing w:before="60" w:after="120"/>
              <w:ind w:right="-24"/>
              <w:jc w:val="center"/>
              <w:rPr>
                <w:rFonts w:hint="default" w:ascii="Times New Roman" w:hAnsi="Times New Roman" w:cs="Times New Roman" w:eastAsiaTheme="minorEastAsia"/>
                <w:color w:val="auto"/>
                <w:highlight w:val="none"/>
              </w:rPr>
            </w:pPr>
          </w:p>
        </w:tc>
        <w:tc>
          <w:tcPr>
            <w:tcW w:w="1864" w:type="dxa"/>
            <w:tcBorders>
              <w:top w:val="single" w:color="auto" w:sz="4" w:space="0"/>
              <w:bottom w:val="single" w:color="auto" w:sz="4" w:space="0"/>
            </w:tcBorders>
            <w:noWrap w:val="0"/>
            <w:vAlign w:val="center"/>
          </w:tcPr>
          <w:p w14:paraId="289E7E3A">
            <w:pPr>
              <w:tabs>
                <w:tab w:val="left" w:pos="900"/>
              </w:tabs>
              <w:snapToGrid w:val="0"/>
              <w:spacing w:before="60" w:after="120"/>
              <w:ind w:right="-24"/>
              <w:jc w:val="center"/>
              <w:rPr>
                <w:rFonts w:hint="default" w:ascii="Times New Roman" w:hAnsi="Times New Roman" w:cs="Times New Roman" w:eastAsiaTheme="minorEastAsia"/>
                <w:color w:val="auto"/>
                <w:highlight w:val="none"/>
              </w:rPr>
            </w:pPr>
          </w:p>
        </w:tc>
        <w:tc>
          <w:tcPr>
            <w:tcW w:w="1357" w:type="dxa"/>
            <w:tcBorders>
              <w:top w:val="single" w:color="auto" w:sz="4" w:space="0"/>
              <w:bottom w:val="single" w:color="auto" w:sz="4" w:space="0"/>
            </w:tcBorders>
            <w:noWrap w:val="0"/>
            <w:vAlign w:val="center"/>
          </w:tcPr>
          <w:p w14:paraId="3B4301CE">
            <w:pPr>
              <w:tabs>
                <w:tab w:val="left" w:pos="900"/>
              </w:tabs>
              <w:snapToGrid w:val="0"/>
              <w:spacing w:before="60" w:after="120"/>
              <w:ind w:right="-24"/>
              <w:jc w:val="center"/>
              <w:rPr>
                <w:rFonts w:hint="default" w:ascii="Times New Roman" w:hAnsi="Times New Roman" w:cs="Times New Roman" w:eastAsiaTheme="minorEastAsia"/>
                <w:color w:val="auto"/>
                <w:highlight w:val="none"/>
              </w:rPr>
            </w:pPr>
          </w:p>
        </w:tc>
      </w:tr>
      <w:tr w14:paraId="4B08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9" w:type="dxa"/>
            <w:gridSpan w:val="2"/>
            <w:tcBorders>
              <w:top w:val="single" w:color="auto" w:sz="4" w:space="0"/>
              <w:bottom w:val="single" w:color="auto" w:sz="4" w:space="0"/>
            </w:tcBorders>
            <w:noWrap w:val="0"/>
            <w:vAlign w:val="center"/>
          </w:tcPr>
          <w:p w14:paraId="79B1BF16">
            <w:pPr>
              <w:jc w:val="center"/>
              <w:rPr>
                <w:rFonts w:hint="default" w:ascii="Times New Roman" w:hAnsi="Times New Roman" w:cs="Times New Roman" w:eastAsiaTheme="minorEastAsia"/>
                <w:color w:val="auto"/>
                <w:highlight w:val="none"/>
              </w:rPr>
            </w:pPr>
            <w:r>
              <w:rPr>
                <w:rFonts w:hint="eastAsia" w:asciiTheme="minorEastAsia" w:hAnsiTheme="minorEastAsia" w:eastAsiaTheme="minorEastAsia" w:cstheme="minorEastAsia"/>
                <w:color w:val="auto"/>
                <w:sz w:val="21"/>
                <w:szCs w:val="21"/>
                <w:highlight w:val="none"/>
              </w:rPr>
              <w:t>合计（小写）：</w:t>
            </w:r>
          </w:p>
        </w:tc>
        <w:tc>
          <w:tcPr>
            <w:tcW w:w="1817" w:type="dxa"/>
            <w:noWrap w:val="0"/>
            <w:vAlign w:val="center"/>
          </w:tcPr>
          <w:p w14:paraId="7358A3B0">
            <w:pPr>
              <w:shd w:val="clear" w:color="auto" w:fill="auto"/>
              <w:tabs>
                <w:tab w:val="left" w:pos="900"/>
              </w:tabs>
              <w:snapToGrid w:val="0"/>
              <w:spacing w:before="60" w:after="120" w:line="360" w:lineRule="auto"/>
              <w:ind w:right="-24" w:rightChars="0"/>
              <w:jc w:val="center"/>
              <w:rPr>
                <w:rFonts w:hint="eastAsia" w:ascii="Times New Roman" w:hAnsi="Times New Roman" w:cs="Times New Roman" w:eastAsiaTheme="minorEastAsia"/>
                <w:color w:val="auto"/>
                <w:highlight w:val="none"/>
                <w:lang w:val="en-US" w:eastAsia="zh-CN"/>
              </w:rPr>
            </w:pPr>
            <w:r>
              <w:rPr>
                <w:rFonts w:hint="eastAsia" w:ascii="Times New Roman" w:hAnsi="Times New Roman" w:cs="Times New Roman" w:eastAsiaTheme="minorEastAsia"/>
                <w:color w:val="auto"/>
                <w:highlight w:val="none"/>
                <w:lang w:val="en-US" w:eastAsia="zh-CN"/>
              </w:rPr>
              <w:t>4625195.54</w:t>
            </w:r>
          </w:p>
        </w:tc>
        <w:tc>
          <w:tcPr>
            <w:tcW w:w="1235" w:type="dxa"/>
            <w:tcBorders>
              <w:top w:val="single" w:color="auto" w:sz="4" w:space="0"/>
            </w:tcBorders>
            <w:noWrap w:val="0"/>
            <w:vAlign w:val="top"/>
          </w:tcPr>
          <w:p w14:paraId="217D484D">
            <w:pPr>
              <w:tabs>
                <w:tab w:val="left" w:pos="900"/>
              </w:tabs>
              <w:snapToGrid w:val="0"/>
              <w:spacing w:before="60" w:after="120" w:line="360" w:lineRule="auto"/>
              <w:ind w:right="-24" w:rightChars="0"/>
              <w:jc w:val="center"/>
              <w:rPr>
                <w:rFonts w:hint="default" w:ascii="Times New Roman" w:hAnsi="Times New Roman" w:cs="Times New Roman" w:eastAsiaTheme="minorEastAsia"/>
                <w:color w:val="auto"/>
                <w:highlight w:val="none"/>
              </w:rPr>
            </w:pPr>
          </w:p>
        </w:tc>
        <w:tc>
          <w:tcPr>
            <w:tcW w:w="1864" w:type="dxa"/>
            <w:tcBorders>
              <w:top w:val="single" w:color="auto" w:sz="4" w:space="0"/>
            </w:tcBorders>
            <w:noWrap w:val="0"/>
            <w:vAlign w:val="center"/>
          </w:tcPr>
          <w:p w14:paraId="51E2208B">
            <w:pPr>
              <w:tabs>
                <w:tab w:val="left" w:pos="900"/>
              </w:tabs>
              <w:snapToGrid w:val="0"/>
              <w:spacing w:before="60" w:after="120" w:line="360" w:lineRule="auto"/>
              <w:ind w:right="-24" w:rightChars="0"/>
              <w:jc w:val="center"/>
              <w:rPr>
                <w:rFonts w:hint="default" w:ascii="Times New Roman" w:hAnsi="Times New Roman" w:cs="Times New Roman" w:eastAsiaTheme="minorEastAsia"/>
                <w:color w:val="auto"/>
                <w:highlight w:val="none"/>
              </w:rPr>
            </w:pPr>
          </w:p>
        </w:tc>
        <w:tc>
          <w:tcPr>
            <w:tcW w:w="1357" w:type="dxa"/>
            <w:tcBorders>
              <w:top w:val="single" w:color="auto" w:sz="4" w:space="0"/>
              <w:bottom w:val="single" w:color="auto" w:sz="4" w:space="0"/>
            </w:tcBorders>
            <w:noWrap w:val="0"/>
            <w:vAlign w:val="center"/>
          </w:tcPr>
          <w:p w14:paraId="5F310901">
            <w:pPr>
              <w:jc w:val="center"/>
              <w:rPr>
                <w:rFonts w:hint="default" w:ascii="Times New Roman" w:hAnsi="Times New Roman" w:cs="Times New Roman" w:eastAsiaTheme="minorEastAsia"/>
                <w:color w:val="auto"/>
                <w:highlight w:val="none"/>
              </w:rPr>
            </w:pPr>
          </w:p>
        </w:tc>
      </w:tr>
    </w:tbl>
    <w:p w14:paraId="73D7D621">
      <w:pPr>
        <w:pStyle w:val="6"/>
        <w:ind w:firstLine="240" w:firstLineChars="100"/>
        <w:rPr>
          <w:rFonts w:hint="default" w:ascii="Times New Roman" w:hAnsi="Times New Roman" w:cs="Times New Roman" w:eastAsiaTheme="minorEastAsia"/>
          <w:color w:val="auto"/>
          <w:kern w:val="2"/>
          <w:sz w:val="24"/>
          <w:szCs w:val="24"/>
          <w:highlight w:val="none"/>
          <w:u w:val="none"/>
          <w:lang w:val="en-US" w:eastAsia="zh-CN" w:bidi="ar-SA"/>
        </w:rPr>
      </w:pPr>
    </w:p>
    <w:p w14:paraId="3F78AB4C">
      <w:pPr>
        <w:pStyle w:val="6"/>
        <w:ind w:firstLine="240" w:firstLineChars="100"/>
        <w:rPr>
          <w:rFonts w:hint="default" w:ascii="Times New Roman" w:hAnsi="Times New Roman" w:cs="Times New Roman" w:eastAsiaTheme="minorEastAsia"/>
          <w:color w:val="auto"/>
          <w:kern w:val="2"/>
          <w:sz w:val="24"/>
          <w:szCs w:val="24"/>
          <w:highlight w:val="none"/>
          <w:u w:val="none"/>
          <w:lang w:val="en-US" w:eastAsia="zh-CN" w:bidi="ar-SA"/>
        </w:rPr>
      </w:pPr>
      <w:r>
        <w:rPr>
          <w:rFonts w:hint="default" w:ascii="Times New Roman" w:hAnsi="Times New Roman" w:cs="Times New Roman" w:eastAsiaTheme="minorEastAsia"/>
          <w:color w:val="auto"/>
          <w:kern w:val="2"/>
          <w:sz w:val="24"/>
          <w:szCs w:val="24"/>
          <w:highlight w:val="none"/>
          <w:u w:val="none"/>
          <w:lang w:val="en-US" w:eastAsia="zh-CN" w:bidi="ar-SA"/>
        </w:rPr>
        <w:t>报价要求：</w:t>
      </w:r>
      <w:bookmarkStart w:id="1" w:name="_GoBack"/>
      <w:bookmarkEnd w:id="1"/>
    </w:p>
    <w:p w14:paraId="241F3AF8">
      <w:pPr>
        <w:pStyle w:val="7"/>
        <w:shd w:val="clear" w:color="auto" w:fill="auto"/>
        <w:ind w:firstLine="481"/>
        <w:jc w:val="left"/>
        <w:rPr>
          <w:rFonts w:hint="default" w:ascii="Times New Roman" w:hAnsi="Times New Roman" w:cs="Times New Roman" w:eastAsiaTheme="minorEastAsia"/>
          <w:b w:val="0"/>
          <w:bCs w:val="0"/>
          <w:color w:val="auto"/>
          <w:kern w:val="2"/>
          <w:sz w:val="24"/>
          <w:szCs w:val="24"/>
          <w:highlight w:val="none"/>
          <w:u w:val="single"/>
          <w:lang w:val="en-US" w:eastAsia="zh-CN" w:bidi="ar-SA"/>
        </w:rPr>
      </w:pPr>
      <w:r>
        <w:rPr>
          <w:rFonts w:hint="default" w:ascii="Times New Roman" w:hAnsi="Times New Roman" w:cs="Times New Roman" w:eastAsiaTheme="minorEastAsia"/>
          <w:b w:val="0"/>
          <w:bCs w:val="0"/>
          <w:color w:val="auto"/>
          <w:kern w:val="2"/>
          <w:sz w:val="24"/>
          <w:szCs w:val="24"/>
          <w:highlight w:val="none"/>
          <w:u w:val="single"/>
          <w:lang w:val="en-US" w:eastAsia="zh-CN" w:bidi="ar-SA"/>
        </w:rPr>
        <w:t>1. 金额报价，同时填报投标下浮率。投标下浮率＝[1－(投标报价/最高投标限价）×100%（保留两位小数，如：8.88%）。当投标金额报价与投标下浮率计算结果不一致时，以投标金额报价为准，按公式修订投标下浮率。</w:t>
      </w:r>
    </w:p>
    <w:p w14:paraId="051461A7">
      <w:pPr>
        <w:pStyle w:val="7"/>
        <w:shd w:val="clear" w:color="auto" w:fill="auto"/>
        <w:ind w:firstLine="481"/>
        <w:jc w:val="left"/>
        <w:rPr>
          <w:rFonts w:hint="default" w:ascii="Times New Roman" w:hAnsi="Times New Roman" w:cs="Times New Roman" w:eastAsiaTheme="minorEastAsia"/>
          <w:b w:val="0"/>
          <w:bCs w:val="0"/>
          <w:color w:val="auto"/>
          <w:kern w:val="2"/>
          <w:sz w:val="24"/>
          <w:szCs w:val="24"/>
          <w:highlight w:val="none"/>
          <w:u w:val="single"/>
          <w:lang w:val="en-US" w:eastAsia="zh-CN" w:bidi="ar-SA"/>
        </w:rPr>
      </w:pPr>
      <w:r>
        <w:rPr>
          <w:rFonts w:hint="default" w:ascii="Times New Roman" w:hAnsi="Times New Roman" w:cs="Times New Roman" w:eastAsiaTheme="minorEastAsia"/>
          <w:b w:val="0"/>
          <w:bCs w:val="0"/>
          <w:color w:val="auto"/>
          <w:kern w:val="2"/>
          <w:sz w:val="24"/>
          <w:szCs w:val="24"/>
          <w:highlight w:val="none"/>
          <w:u w:val="single"/>
          <w:lang w:val="en-US" w:eastAsia="zh-CN" w:bidi="ar-SA"/>
        </w:rPr>
        <w:t>2.投标报价≤最高投标限价（公布最高投标限价的总价及各单项价格）；投标下浮率不低于0%为有效报价；当投标下浮率＞15%时应附成本分析报告，充分说明单价和费用的组成、降低成本的合理措施及在其他工程中应用过的经验等，经评审通过后方可视为有效报价。</w:t>
      </w:r>
    </w:p>
    <w:p w14:paraId="16A9E615">
      <w:pPr>
        <w:rPr>
          <w:rFonts w:hint="default" w:ascii="Times New Roman" w:hAnsi="Times New Roman" w:cs="Times New Roman" w:eastAsiaTheme="minorEastAsia"/>
          <w:highlight w:val="none"/>
          <w:lang w:val="en-US" w:eastAsia="zh-CN"/>
        </w:rPr>
      </w:pPr>
    </w:p>
    <w:p w14:paraId="18EE9F1D">
      <w:pPr>
        <w:pStyle w:val="3"/>
        <w:keepNext w:val="0"/>
        <w:keepLines w:val="0"/>
        <w:pageBreakBefore w:val="0"/>
        <w:numPr>
          <w:ilvl w:val="0"/>
          <w:numId w:val="0"/>
        </w:numPr>
        <w:kinsoku/>
        <w:wordWrap/>
        <w:overflowPunct/>
        <w:topLinePunct w:val="0"/>
        <w:bidi w:val="0"/>
        <w:spacing w:line="360" w:lineRule="auto"/>
        <w:ind w:leftChars="0"/>
        <w:outlineLvl w:val="1"/>
        <w:rPr>
          <w:rFonts w:hint="default" w:ascii="Times New Roman" w:hAnsi="Times New Roman" w:cs="Times New Roman" w:eastAsiaTheme="minorEastAsia"/>
          <w:b/>
          <w:bCs/>
          <w:i w:val="0"/>
          <w:color w:val="auto"/>
          <w:kern w:val="2"/>
          <w:sz w:val="24"/>
          <w:szCs w:val="24"/>
          <w:highlight w:val="none"/>
          <w:lang w:val="en-US" w:eastAsia="zh-CN" w:bidi="ar-SA"/>
        </w:rPr>
      </w:pPr>
      <w:r>
        <w:rPr>
          <w:rFonts w:hint="default" w:ascii="Times New Roman" w:hAnsi="Times New Roman" w:cs="Times New Roman" w:eastAsiaTheme="minorEastAsia"/>
          <w:b/>
          <w:bCs/>
          <w:i w:val="0"/>
          <w:color w:val="auto"/>
          <w:kern w:val="2"/>
          <w:sz w:val="24"/>
          <w:szCs w:val="24"/>
          <w:highlight w:val="none"/>
          <w:lang w:val="en-US" w:eastAsia="zh-CN" w:bidi="ar-SA"/>
        </w:rPr>
        <w:t>四、结算方式</w:t>
      </w:r>
    </w:p>
    <w:p w14:paraId="50B6AF67">
      <w:pPr>
        <w:pStyle w:val="7"/>
        <w:jc w:val="left"/>
        <w:rPr>
          <w:rFonts w:hint="default" w:ascii="Times New Roman" w:hAnsi="Times New Roman" w:cs="Times New Roman" w:eastAsiaTheme="minorEastAsia"/>
          <w:color w:val="auto"/>
          <w:kern w:val="2"/>
          <w:sz w:val="24"/>
          <w:szCs w:val="24"/>
          <w:highlight w:val="none"/>
          <w:u w:val="single"/>
          <w:lang w:val="en-US" w:eastAsia="zh-CN" w:bidi="ar-SA"/>
        </w:rPr>
      </w:pPr>
      <w:r>
        <w:rPr>
          <w:rFonts w:hint="default" w:ascii="Times New Roman" w:hAnsi="Times New Roman" w:cs="Times New Roman" w:eastAsiaTheme="minorEastAsia"/>
          <w:color w:val="auto"/>
          <w:kern w:val="2"/>
          <w:sz w:val="24"/>
          <w:szCs w:val="24"/>
          <w:highlight w:val="none"/>
          <w:u w:val="single"/>
          <w:lang w:val="en-US" w:eastAsia="zh-CN" w:bidi="ar-SA"/>
        </w:rPr>
        <w:t xml:space="preserve">   本合同为固定总价合同，总价包干。                                                                        </w:t>
      </w:r>
    </w:p>
    <w:p w14:paraId="3BAB8062">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none"/>
          <w:lang w:val="en-US" w:eastAsia="zh-CN" w:bidi="ar-SA"/>
        </w:rPr>
      </w:pPr>
      <w:r>
        <w:rPr>
          <w:rFonts w:hint="default" w:ascii="Times New Roman" w:hAnsi="Times New Roman" w:cs="Times New Roman" w:eastAsiaTheme="minorEastAsia"/>
          <w:b/>
          <w:bCs/>
          <w:i w:val="0"/>
          <w:color w:val="auto"/>
          <w:kern w:val="2"/>
          <w:sz w:val="24"/>
          <w:szCs w:val="24"/>
          <w:highlight w:val="none"/>
          <w:u w:val="none"/>
          <w:lang w:val="en-US" w:eastAsia="zh-CN" w:bidi="ar-SA"/>
        </w:rPr>
        <w:t>五、分包要求</w:t>
      </w:r>
    </w:p>
    <w:p w14:paraId="3810CB2A">
      <w:pPr>
        <w:pStyle w:val="10"/>
        <w:numPr>
          <w:ilvl w:val="0"/>
          <w:numId w:val="0"/>
        </w:numPr>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rPr>
        <w:sym w:font="Wingdings" w:char="00FE"/>
      </w:r>
      <w:r>
        <w:rPr>
          <w:rFonts w:hint="default" w:ascii="Times New Roman" w:hAnsi="Times New Roman" w:cs="Times New Roman" w:eastAsiaTheme="minorEastAsia"/>
          <w:sz w:val="24"/>
          <w:szCs w:val="24"/>
          <w:highlight w:val="none"/>
          <w:lang w:eastAsia="zh-CN"/>
        </w:rPr>
        <w:t>不允许分包</w:t>
      </w:r>
    </w:p>
    <w:p w14:paraId="7190D7E8">
      <w:pPr>
        <w:pStyle w:val="10"/>
        <w:numPr>
          <w:ilvl w:val="0"/>
          <w:numId w:val="0"/>
        </w:numPr>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lang w:eastAsia="zh-CN"/>
        </w:rPr>
        <w:sym w:font="Wingdings" w:char="00A8"/>
      </w:r>
      <w:r>
        <w:rPr>
          <w:rFonts w:hint="default" w:ascii="Times New Roman" w:hAnsi="Times New Roman" w:cs="Times New Roman" w:eastAsiaTheme="minorEastAsia"/>
          <w:sz w:val="24"/>
          <w:szCs w:val="24"/>
          <w:highlight w:val="none"/>
          <w:lang w:eastAsia="zh-CN"/>
        </w:rPr>
        <w:t>允许分包，但必须符合以下要求：</w:t>
      </w:r>
    </w:p>
    <w:p w14:paraId="413B5857">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single"/>
          <w:lang w:val="en-US" w:eastAsia="zh-CN" w:bidi="ar-SA"/>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 xml:space="preserve">                                       </w:t>
      </w:r>
    </w:p>
    <w:p w14:paraId="78D7C8CE">
      <w:pPr>
        <w:rPr>
          <w:rFonts w:hint="default" w:ascii="Times New Roman" w:hAnsi="Times New Roman" w:cs="Times New Roman" w:eastAsiaTheme="minorEastAsia"/>
          <w:color w:val="auto"/>
          <w:kern w:val="2"/>
          <w:sz w:val="24"/>
          <w:szCs w:val="24"/>
          <w:highlight w:val="none"/>
          <w:u w:val="single"/>
          <w:lang w:val="en-US" w:eastAsia="zh-CN" w:bidi="ar-SA"/>
        </w:rPr>
      </w:pPr>
    </w:p>
    <w:p w14:paraId="0B377D22">
      <w:pPr>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highlight w:val="none"/>
          <w:lang w:val="en-US" w:eastAsia="zh-CN"/>
        </w:rPr>
        <w:br w:type="page"/>
      </w:r>
    </w:p>
    <w:p w14:paraId="20BB3658">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b/>
          <w:bCs/>
          <w:snapToGrid w:val="0"/>
          <w:color w:val="auto"/>
          <w:kern w:val="0"/>
          <w:sz w:val="28"/>
          <w:szCs w:val="28"/>
          <w:highlight w:val="none"/>
          <w:u w:val="none"/>
          <w:lang w:val="en-US" w:eastAsia="zh-CN"/>
        </w:rPr>
        <w:t>技术标准、要求及图纸（对应招标文件 第五章）</w:t>
      </w:r>
    </w:p>
    <w:p w14:paraId="13DE2E98">
      <w:pPr>
        <w:pStyle w:val="3"/>
        <w:spacing w:before="0" w:after="0" w:line="240" w:lineRule="auto"/>
        <w:rPr>
          <w:rFonts w:hint="default" w:ascii="Times New Roman" w:hAnsi="Times New Roman" w:cs="Times New Roman" w:eastAsiaTheme="minorEastAsia"/>
          <w:i w:val="0"/>
          <w:iCs/>
          <w:color w:val="auto"/>
          <w:sz w:val="24"/>
          <w:szCs w:val="24"/>
          <w:highlight w:val="none"/>
        </w:rPr>
      </w:pPr>
      <w:r>
        <w:rPr>
          <w:rFonts w:hint="default" w:ascii="Times New Roman" w:hAnsi="Times New Roman" w:cs="Times New Roman" w:eastAsiaTheme="minorEastAsia"/>
          <w:i w:val="0"/>
          <w:iCs/>
          <w:color w:val="auto"/>
          <w:sz w:val="24"/>
          <w:szCs w:val="24"/>
          <w:highlight w:val="none"/>
          <w:lang w:eastAsia="zh-CN"/>
        </w:rPr>
        <w:t>一、</w:t>
      </w:r>
      <w:r>
        <w:rPr>
          <w:rFonts w:hint="default" w:ascii="Times New Roman" w:hAnsi="Times New Roman" w:cs="Times New Roman" w:eastAsiaTheme="minorEastAsia"/>
          <w:i w:val="0"/>
          <w:iCs/>
          <w:color w:val="auto"/>
          <w:sz w:val="24"/>
          <w:szCs w:val="24"/>
          <w:highlight w:val="none"/>
        </w:rPr>
        <w:t xml:space="preserve"> 管理规范和技术（规范）标准（</w:t>
      </w:r>
      <w:r>
        <w:rPr>
          <w:rFonts w:hint="default" w:ascii="Times New Roman" w:hAnsi="Times New Roman" w:cs="Times New Roman" w:eastAsiaTheme="minorEastAsia"/>
          <w:i w:val="0"/>
          <w:iCs/>
          <w:color w:val="auto"/>
          <w:sz w:val="24"/>
          <w:szCs w:val="24"/>
          <w:highlight w:val="none"/>
          <w:lang w:eastAsia="zh-CN"/>
        </w:rPr>
        <w:t>详见</w:t>
      </w:r>
      <w:r>
        <w:rPr>
          <w:rFonts w:hint="default" w:ascii="Times New Roman" w:hAnsi="Times New Roman" w:cs="Times New Roman" w:eastAsiaTheme="minorEastAsia"/>
          <w:i w:val="0"/>
          <w:iCs/>
          <w:color w:val="auto"/>
          <w:sz w:val="24"/>
          <w:szCs w:val="24"/>
          <w:highlight w:val="none"/>
        </w:rPr>
        <w:t>合同附件）</w:t>
      </w:r>
    </w:p>
    <w:p w14:paraId="3E9A5710">
      <w:pPr>
        <w:pStyle w:val="9"/>
        <w:rPr>
          <w:rFonts w:hint="default" w:ascii="Times New Roman" w:hAnsi="Times New Roman" w:cs="Times New Roman" w:eastAsiaTheme="minorEastAsia"/>
          <w:i w:val="0"/>
          <w:iCs/>
          <w:color w:val="auto"/>
          <w:sz w:val="24"/>
          <w:szCs w:val="24"/>
          <w:highlight w:val="none"/>
        </w:rPr>
      </w:pPr>
    </w:p>
    <w:p w14:paraId="03C53E72">
      <w:pPr>
        <w:pStyle w:val="3"/>
        <w:spacing w:before="0" w:after="0" w:line="240" w:lineRule="auto"/>
        <w:rPr>
          <w:rFonts w:hint="default" w:ascii="Times New Roman" w:hAnsi="Times New Roman" w:cs="Times New Roman" w:eastAsiaTheme="minorEastAsia"/>
          <w:i w:val="0"/>
          <w:iCs/>
          <w:color w:val="auto"/>
          <w:sz w:val="24"/>
          <w:szCs w:val="24"/>
          <w:highlight w:val="none"/>
        </w:rPr>
      </w:pPr>
      <w:r>
        <w:rPr>
          <w:rFonts w:hint="default" w:ascii="Times New Roman" w:hAnsi="Times New Roman" w:cs="Times New Roman" w:eastAsiaTheme="minorEastAsia"/>
          <w:i w:val="0"/>
          <w:iCs/>
          <w:color w:val="auto"/>
          <w:sz w:val="24"/>
          <w:szCs w:val="24"/>
          <w:highlight w:val="none"/>
          <w:lang w:eastAsia="zh-CN"/>
        </w:rPr>
        <w:t>二、</w:t>
      </w:r>
      <w:r>
        <w:rPr>
          <w:rFonts w:hint="default" w:ascii="Times New Roman" w:hAnsi="Times New Roman" w:cs="Times New Roman" w:eastAsiaTheme="minorEastAsia"/>
          <w:i w:val="0"/>
          <w:iCs/>
          <w:color w:val="auto"/>
          <w:sz w:val="24"/>
          <w:szCs w:val="24"/>
          <w:highlight w:val="none"/>
        </w:rPr>
        <w:t>技术</w:t>
      </w:r>
      <w:r>
        <w:rPr>
          <w:rFonts w:hint="default" w:ascii="Times New Roman" w:hAnsi="Times New Roman" w:cs="Times New Roman" w:eastAsiaTheme="minorEastAsia"/>
          <w:i w:val="0"/>
          <w:iCs/>
          <w:color w:val="auto"/>
          <w:sz w:val="24"/>
          <w:szCs w:val="24"/>
          <w:highlight w:val="none"/>
          <w:lang w:val="en-US" w:eastAsia="zh-CN"/>
        </w:rPr>
        <w:t>及管理</w:t>
      </w:r>
      <w:r>
        <w:rPr>
          <w:rFonts w:hint="default" w:ascii="Times New Roman" w:hAnsi="Times New Roman" w:cs="Times New Roman" w:eastAsiaTheme="minorEastAsia"/>
          <w:i w:val="0"/>
          <w:iCs/>
          <w:color w:val="auto"/>
          <w:sz w:val="24"/>
          <w:szCs w:val="24"/>
          <w:highlight w:val="none"/>
        </w:rPr>
        <w:t>要求</w:t>
      </w:r>
    </w:p>
    <w:p w14:paraId="06A24310">
      <w:pPr>
        <w:autoSpaceDE w:val="0"/>
        <w:autoSpaceDN w:val="0"/>
        <w:adjustRightInd w:val="0"/>
        <w:rPr>
          <w:rFonts w:hint="default" w:ascii="Times New Roman" w:hAnsi="Times New Roman" w:cs="Times New Roman" w:eastAsiaTheme="minorEastAsia"/>
          <w:i w:val="0"/>
          <w:iCs/>
          <w:color w:val="auto"/>
          <w:kern w:val="0"/>
          <w:sz w:val="24"/>
          <w:szCs w:val="24"/>
          <w:highlight w:val="none"/>
          <w:lang w:val="zh-CN"/>
        </w:rPr>
      </w:pPr>
      <w:r>
        <w:rPr>
          <w:rFonts w:hint="default" w:ascii="Times New Roman" w:hAnsi="Times New Roman" w:cs="Times New Roman" w:eastAsia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7F289EA3">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b w:val="0"/>
          <w:bCs/>
          <w:i w:val="0"/>
          <w:iCs/>
          <w:color w:val="auto"/>
          <w:kern w:val="0"/>
          <w:sz w:val="24"/>
          <w:szCs w:val="24"/>
          <w:highlight w:val="none"/>
          <w:lang w:val="zh-CN"/>
        </w:rPr>
        <w:t>（二）符合图纸及技术文件的要求（如有，详见招标文件附件）。</w:t>
      </w:r>
    </w:p>
    <w:p w14:paraId="43A11254">
      <w:pPr>
        <w:rPr>
          <w:rFonts w:hint="default" w:ascii="Times New Roman" w:hAnsi="Times New Roman" w:cs="Times New Roman" w:eastAsiaTheme="minorEastAsia"/>
          <w:color w:val="auto"/>
          <w:sz w:val="24"/>
          <w:szCs w:val="24"/>
          <w:highlight w:val="none"/>
          <w:u w:val="single"/>
          <w:vertAlign w:val="baseline"/>
          <w:lang w:val="en-US" w:eastAsia="zh-CN"/>
        </w:rPr>
      </w:pPr>
    </w:p>
    <w:p w14:paraId="6BFE67C9">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993E1"/>
    <w:multiLevelType w:val="singleLevel"/>
    <w:tmpl w:val="EA6993E1"/>
    <w:lvl w:ilvl="0" w:tentative="0">
      <w:start w:val="3"/>
      <w:numFmt w:val="chineseCounting"/>
      <w:suff w:val="nothing"/>
      <w:lvlText w:val="%1、"/>
      <w:lvlJc w:val="left"/>
      <w:rPr>
        <w:rFonts w:hint="eastAsia"/>
      </w:r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4A24F71"/>
    <w:rsid w:val="076F3B3B"/>
    <w:rsid w:val="07CA37DF"/>
    <w:rsid w:val="0B4A6210"/>
    <w:rsid w:val="0B9C50BC"/>
    <w:rsid w:val="0BC07002"/>
    <w:rsid w:val="0E2F4C02"/>
    <w:rsid w:val="0E3616E0"/>
    <w:rsid w:val="0E394169"/>
    <w:rsid w:val="0F81532F"/>
    <w:rsid w:val="107144D2"/>
    <w:rsid w:val="116419AD"/>
    <w:rsid w:val="11DF6CFE"/>
    <w:rsid w:val="13383335"/>
    <w:rsid w:val="14440D4B"/>
    <w:rsid w:val="14781EB9"/>
    <w:rsid w:val="14B666F3"/>
    <w:rsid w:val="15056A61"/>
    <w:rsid w:val="17722603"/>
    <w:rsid w:val="18E57496"/>
    <w:rsid w:val="1A386933"/>
    <w:rsid w:val="1A4F176B"/>
    <w:rsid w:val="1B663F82"/>
    <w:rsid w:val="1C2D4629"/>
    <w:rsid w:val="1C43636C"/>
    <w:rsid w:val="1C8618B6"/>
    <w:rsid w:val="1D3B1A1E"/>
    <w:rsid w:val="1D904223"/>
    <w:rsid w:val="1F653C49"/>
    <w:rsid w:val="1FF914D4"/>
    <w:rsid w:val="20735046"/>
    <w:rsid w:val="216F4D5B"/>
    <w:rsid w:val="21C11DC8"/>
    <w:rsid w:val="23B738BA"/>
    <w:rsid w:val="24E67795"/>
    <w:rsid w:val="24F737D8"/>
    <w:rsid w:val="2525523D"/>
    <w:rsid w:val="26EB3B6A"/>
    <w:rsid w:val="291D5E51"/>
    <w:rsid w:val="2B8B1CE7"/>
    <w:rsid w:val="2BE07E0A"/>
    <w:rsid w:val="2CA17C08"/>
    <w:rsid w:val="2DDF66E3"/>
    <w:rsid w:val="2FF65FF8"/>
    <w:rsid w:val="300D195C"/>
    <w:rsid w:val="30BF37B5"/>
    <w:rsid w:val="313B0851"/>
    <w:rsid w:val="31A1649A"/>
    <w:rsid w:val="31C955A9"/>
    <w:rsid w:val="331A33DB"/>
    <w:rsid w:val="33B200AF"/>
    <w:rsid w:val="33C30CEE"/>
    <w:rsid w:val="33C75702"/>
    <w:rsid w:val="33E61BE2"/>
    <w:rsid w:val="361736AD"/>
    <w:rsid w:val="36D200CF"/>
    <w:rsid w:val="36DE52F1"/>
    <w:rsid w:val="3751569E"/>
    <w:rsid w:val="37984D64"/>
    <w:rsid w:val="379951F8"/>
    <w:rsid w:val="38382DC3"/>
    <w:rsid w:val="38DE045C"/>
    <w:rsid w:val="3987396D"/>
    <w:rsid w:val="3B595AEE"/>
    <w:rsid w:val="3BBB66B2"/>
    <w:rsid w:val="3BF24D81"/>
    <w:rsid w:val="3BFE7BEA"/>
    <w:rsid w:val="3C4750A3"/>
    <w:rsid w:val="3C4A35F1"/>
    <w:rsid w:val="3E6F26EC"/>
    <w:rsid w:val="420455E6"/>
    <w:rsid w:val="42E73C50"/>
    <w:rsid w:val="44982260"/>
    <w:rsid w:val="44D414C9"/>
    <w:rsid w:val="46472D5E"/>
    <w:rsid w:val="46B32F0A"/>
    <w:rsid w:val="485D3F87"/>
    <w:rsid w:val="496A657E"/>
    <w:rsid w:val="49843C09"/>
    <w:rsid w:val="4B3A1BDA"/>
    <w:rsid w:val="4BF83760"/>
    <w:rsid w:val="4C5B4768"/>
    <w:rsid w:val="4C8349B8"/>
    <w:rsid w:val="504766FD"/>
    <w:rsid w:val="51EB1BA0"/>
    <w:rsid w:val="552A0C96"/>
    <w:rsid w:val="55BB16B6"/>
    <w:rsid w:val="55C3156A"/>
    <w:rsid w:val="560A4CB8"/>
    <w:rsid w:val="5782183A"/>
    <w:rsid w:val="57BD355E"/>
    <w:rsid w:val="58D21C48"/>
    <w:rsid w:val="5B0320E2"/>
    <w:rsid w:val="5B8B11A7"/>
    <w:rsid w:val="5B9E2EC4"/>
    <w:rsid w:val="5CD10D7E"/>
    <w:rsid w:val="60002310"/>
    <w:rsid w:val="608606DE"/>
    <w:rsid w:val="610E324A"/>
    <w:rsid w:val="61F31EFD"/>
    <w:rsid w:val="63066BC7"/>
    <w:rsid w:val="63D0487B"/>
    <w:rsid w:val="64672037"/>
    <w:rsid w:val="64911DA0"/>
    <w:rsid w:val="65945D8D"/>
    <w:rsid w:val="66C35559"/>
    <w:rsid w:val="67D57489"/>
    <w:rsid w:val="68570F93"/>
    <w:rsid w:val="69146353"/>
    <w:rsid w:val="6A287B5E"/>
    <w:rsid w:val="6B303A1A"/>
    <w:rsid w:val="6C704794"/>
    <w:rsid w:val="6DAA2FDF"/>
    <w:rsid w:val="6DF95579"/>
    <w:rsid w:val="6E121228"/>
    <w:rsid w:val="6F8447F5"/>
    <w:rsid w:val="70D1495F"/>
    <w:rsid w:val="70ED510D"/>
    <w:rsid w:val="712F63C0"/>
    <w:rsid w:val="72717CD1"/>
    <w:rsid w:val="72F654AE"/>
    <w:rsid w:val="743E1546"/>
    <w:rsid w:val="74614F7E"/>
    <w:rsid w:val="74695E39"/>
    <w:rsid w:val="754C6F3B"/>
    <w:rsid w:val="75B11AFF"/>
    <w:rsid w:val="75D32619"/>
    <w:rsid w:val="76307412"/>
    <w:rsid w:val="768D126A"/>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1147</Words>
  <Characters>1257</Characters>
  <Lines>0</Lines>
  <Paragraphs>0</Paragraphs>
  <TotalTime>0</TotalTime>
  <ScaleCrop>false</ScaleCrop>
  <LinksUpToDate>false</LinksUpToDate>
  <CharactersWithSpaces>1418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2025-09-08T03:05:22Z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EDF1AA3B88D44F0F8FEC517A4732750F</vt:lpwstr>
  </property>
  <property fmtid="{D5CDD505-2E9C-101B-9397-08002B2CF9AE}" pid="4" name="KSOTemplateDocerSaveRecord">
    <vt:lpwstr>eyJoZGlkIjoiNTgxZTFhMGEzMzMzZWM2ZGRjOTQxOGZiYTFhYTNlNWYiLCJ1c2VySWQiOiI3MDM5OTYzMzMifQ==</vt:lpwstr>
  </property>
</Properties>
</file>