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B5EF6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附件A.项目信息清单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标的3标包1.惠州至肇庆高速公路白云至三水段项目输电线路迁改工程-多模态数字化协同建设管理技术项目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）</w:t>
      </w:r>
    </w:p>
    <w:bookmarkEnd w:id="0"/>
    <w:p w14:paraId="1CF57EA5"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项目信息</w:t>
      </w:r>
    </w:p>
    <w:p w14:paraId="03FD691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招标前期资料</w:t>
      </w:r>
    </w:p>
    <w:tbl>
      <w:tblPr>
        <w:tblStyle w:val="13"/>
        <w:tblW w:w="9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3783"/>
        <w:gridCol w:w="5250"/>
      </w:tblGrid>
      <w:tr w14:paraId="0BF74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776" w:type="dxa"/>
            <w:noWrap w:val="0"/>
            <w:vAlign w:val="top"/>
          </w:tcPr>
          <w:p w14:paraId="7572F329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3783" w:type="dxa"/>
            <w:noWrap w:val="0"/>
            <w:vAlign w:val="top"/>
          </w:tcPr>
          <w:p w14:paraId="66D9F6AF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文件名称</w:t>
            </w:r>
          </w:p>
        </w:tc>
        <w:tc>
          <w:tcPr>
            <w:tcW w:w="5250" w:type="dxa"/>
            <w:noWrap w:val="0"/>
            <w:vAlign w:val="top"/>
          </w:tcPr>
          <w:p w14:paraId="4C9F7176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文件文号</w:t>
            </w:r>
          </w:p>
        </w:tc>
      </w:tr>
      <w:tr w14:paraId="54AAE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 w14:paraId="30FC08A8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3783" w:type="dxa"/>
            <w:noWrap w:val="0"/>
            <w:vAlign w:val="center"/>
          </w:tcPr>
          <w:p w14:paraId="59418731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可研批复(项目立项)文号</w:t>
            </w:r>
          </w:p>
        </w:tc>
        <w:tc>
          <w:tcPr>
            <w:tcW w:w="5250" w:type="dxa"/>
            <w:noWrap w:val="0"/>
            <w:vAlign w:val="center"/>
          </w:tcPr>
          <w:p w14:paraId="20D83616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bookmarkStart w:id="1" w:name="fwzh"/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广供电基〔2024〕149号</w:t>
            </w:r>
            <w:bookmarkEnd w:id="1"/>
          </w:p>
        </w:tc>
      </w:tr>
      <w:tr w14:paraId="5F089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 w14:paraId="295AC099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3783" w:type="dxa"/>
            <w:noWrap w:val="0"/>
            <w:vAlign w:val="center"/>
          </w:tcPr>
          <w:p w14:paraId="3EB83F81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资金落实情况</w:t>
            </w:r>
          </w:p>
        </w:tc>
        <w:tc>
          <w:tcPr>
            <w:tcW w:w="5250" w:type="dxa"/>
            <w:noWrap w:val="0"/>
            <w:vAlign w:val="center"/>
          </w:tcPr>
          <w:p w14:paraId="4F137D14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  <w:t>专纪〔2024〕200号</w:t>
            </w:r>
          </w:p>
        </w:tc>
      </w:tr>
      <w:tr w14:paraId="36166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 w14:paraId="6A6E2938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3783" w:type="dxa"/>
            <w:noWrap w:val="0"/>
            <w:vAlign w:val="center"/>
          </w:tcPr>
          <w:p w14:paraId="229A1F4F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5250" w:type="dxa"/>
            <w:shd w:val="clear" w:color="auto" w:fill="auto"/>
            <w:noWrap w:val="0"/>
            <w:vAlign w:val="center"/>
          </w:tcPr>
          <w:p w14:paraId="49B3587A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color w:val="auto"/>
                <w:sz w:val="24"/>
                <w:szCs w:val="24"/>
                <w:highlight w:val="none"/>
              </w:rPr>
              <w:t>广东电网有限责任公司广州供电局</w:t>
            </w:r>
          </w:p>
        </w:tc>
      </w:tr>
      <w:tr w14:paraId="1A56B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776" w:type="dxa"/>
            <w:noWrap w:val="0"/>
            <w:vAlign w:val="center"/>
          </w:tcPr>
          <w:p w14:paraId="6122D3E1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3783" w:type="dxa"/>
            <w:noWrap w:val="0"/>
            <w:vAlign w:val="center"/>
          </w:tcPr>
          <w:p w14:paraId="52E7F2AB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5250" w:type="dxa"/>
            <w:noWrap w:val="0"/>
            <w:vAlign w:val="center"/>
          </w:tcPr>
          <w:p w14:paraId="3153C096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广州市白云区</w:t>
            </w:r>
          </w:p>
        </w:tc>
      </w:tr>
      <w:tr w14:paraId="46286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exact"/>
          <w:jc w:val="center"/>
        </w:trPr>
        <w:tc>
          <w:tcPr>
            <w:tcW w:w="776" w:type="dxa"/>
            <w:noWrap w:val="0"/>
            <w:vAlign w:val="center"/>
          </w:tcPr>
          <w:p w14:paraId="6BB14A21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3783" w:type="dxa"/>
            <w:noWrap w:val="0"/>
            <w:vAlign w:val="center"/>
          </w:tcPr>
          <w:p w14:paraId="76869E75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服务期/框架有效期</w:t>
            </w:r>
          </w:p>
        </w:tc>
        <w:tc>
          <w:tcPr>
            <w:tcW w:w="5250" w:type="dxa"/>
            <w:noWrap w:val="0"/>
            <w:vAlign w:val="center"/>
          </w:tcPr>
          <w:p w14:paraId="007D10B9">
            <w:pPr>
              <w:pStyle w:val="10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both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color w:val="auto"/>
                <w:kern w:val="0"/>
                <w:sz w:val="24"/>
                <w:szCs w:val="24"/>
                <w:highlight w:val="none"/>
                <w:u w:val="single"/>
                <w:vertAlign w:val="baseline"/>
                <w:lang w:val="en-US" w:eastAsia="zh-CN"/>
              </w:rPr>
              <w:t>合同签订之日起360日历天，实际工期以开工报告、竣工报告为准。</w:t>
            </w:r>
          </w:p>
        </w:tc>
      </w:tr>
    </w:tbl>
    <w:p w14:paraId="6E51D1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before="157" w:beforeLines="50" w:after="157" w:afterLines="50"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一、项目概况</w:t>
      </w:r>
    </w:p>
    <w:p w14:paraId="20AA769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eastAsia" w:hAnsi="宋体" w:eastAsia="宋体" w:cs="Times New Roman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hAnsi="宋体" w:eastAsia="宋体" w:cs="Times New Roman"/>
          <w:color w:val="auto"/>
          <w:sz w:val="24"/>
          <w:szCs w:val="24"/>
          <w:highlight w:val="none"/>
          <w:u w:val="single"/>
          <w:lang w:val="en-US" w:eastAsia="zh-CN"/>
        </w:rPr>
        <w:t>新建500kV北花甲乙线BHA1-BHA7段双回同塔线路，单线长约1.92km，导线每相采用4×JL/LB20A-720/50铝包钢芯铝绞线，地线采用2根OPGW-120-72-2-4光缆；新建双回路耐张塔7基。更换北花线#20-A1段导线每相采用4×JL/LB20A-720/50铝包钢芯铝绞线，地线采用2根OPGW-120-72-2-4光缆,线路长度0.31km。调整A7-1BH3段导、地线及其绝缘子串和附件，线路单线长约分别0.75km，4×JL/LB20A-720/50铝包钢芯铝绞线，地线采用2根OPGW-120-72-2-4 光缆。拆除500kV北花甲乙线#21-#27段双回线路导、地线，单线长约1.52km,导线为4×JL/LB20A-720/50铝包钢芯铝绞线，地线采用2根OPGW-120-72-2-4 光缆；拆除500kV北花甲乙线#21-#26共计6基双回路塔。</w:t>
      </w:r>
    </w:p>
    <w:p w14:paraId="3DEE06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二、采购范围</w:t>
      </w:r>
    </w:p>
    <w:p w14:paraId="36F527B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0" w:firstLineChars="200"/>
        <w:textAlignment w:val="auto"/>
        <w:rPr>
          <w:rFonts w:hint="default" w:hAnsi="宋体" w:eastAsia="宋体" w:cs="Times New Roman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default" w:hAnsi="宋体" w:eastAsia="宋体" w:cs="Times New Roman"/>
          <w:color w:val="auto"/>
          <w:sz w:val="24"/>
          <w:szCs w:val="24"/>
          <w:highlight w:val="none"/>
          <w:u w:val="single"/>
          <w:lang w:val="en-US" w:eastAsia="zh-CN"/>
        </w:rPr>
        <w:t>依托该项目，搭建输电线路迁改多模态数字化协同建设管理平台，实现输电线路迁改建设项目的全过程管理，主要包含以下技术特点：选址选线至可研阶段，利用三维设计平台进行多方案比选；初步设计至施工图设计阶段，测量专业调绘上一阶段测绘成果，线路电气和结构专业协同完成复杂计算校验，实现多模态设计方案可视化对比；施工阶段对施工单位进行交叉跨越施工风险点、线路重要交叉跨越放线、高低腿配比和金具串配串交底，确保施工风险在可控范围内；同步通过项目施工计划与造价动态计量的结合，最后实现模型对建设管理基于计划-分析-实施-调整（PDCA）的辅助功能。</w:t>
      </w:r>
    </w:p>
    <w:p w14:paraId="2B8A24F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hAnsi="宋体" w:eastAsia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hAnsi="宋体" w:eastAsia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交付物</w:t>
      </w:r>
      <w:r>
        <w:rPr>
          <w:rFonts w:hint="eastAsia" w:hAnsi="宋体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：</w:t>
      </w:r>
    </w:p>
    <w:p w14:paraId="1B32467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hAnsi="宋体" w:eastAsia="宋体"/>
          <w:color w:val="auto"/>
          <w:sz w:val="24"/>
          <w:szCs w:val="24"/>
          <w:highlight w:val="none"/>
          <w:u w:val="single"/>
        </w:rPr>
        <w:t>（1）《</w:t>
      </w:r>
      <w:r>
        <w:rPr>
          <w:rFonts w:hint="eastAsia" w:hAnsi="宋体"/>
          <w:color w:val="auto"/>
          <w:sz w:val="24"/>
          <w:szCs w:val="24"/>
          <w:highlight w:val="none"/>
          <w:u w:val="single"/>
          <w:lang w:val="en-US" w:eastAsia="zh-CN"/>
        </w:rPr>
        <w:t>输电线路迁改多模态数字化协同建设管理</w:t>
      </w:r>
      <w:r>
        <w:rPr>
          <w:rFonts w:hint="eastAsia" w:hAnsi="宋体" w:eastAsia="宋体"/>
          <w:color w:val="auto"/>
          <w:sz w:val="24"/>
          <w:szCs w:val="24"/>
          <w:highlight w:val="none"/>
          <w:u w:val="single"/>
        </w:rPr>
        <w:t>系统》；</w:t>
      </w:r>
      <w:r>
        <w:rPr>
          <w:rFonts w:hint="eastAsia" w:hAnsi="宋体" w:eastAsia="宋体"/>
          <w:color w:val="auto"/>
          <w:sz w:val="24"/>
          <w:szCs w:val="24"/>
          <w:highlight w:val="none"/>
          <w:u w:val="single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三、报价表及报价要求</w:t>
      </w:r>
    </w:p>
    <w:tbl>
      <w:tblPr>
        <w:tblStyle w:val="12"/>
        <w:tblpPr w:leftFromText="180" w:rightFromText="180" w:vertAnchor="text" w:horzAnchor="page" w:tblpX="1247" w:tblpY="269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2594"/>
        <w:gridCol w:w="1757"/>
        <w:gridCol w:w="1360"/>
        <w:gridCol w:w="1639"/>
        <w:gridCol w:w="1312"/>
      </w:tblGrid>
      <w:tr w14:paraId="33BCE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975" w:type="dxa"/>
            <w:tcBorders>
              <w:bottom w:val="single" w:color="auto" w:sz="4" w:space="0"/>
            </w:tcBorders>
            <w:noWrap w:val="0"/>
            <w:vAlign w:val="center"/>
          </w:tcPr>
          <w:p w14:paraId="5C9AE3C1">
            <w:pPr>
              <w:tabs>
                <w:tab w:val="left" w:pos="900"/>
              </w:tabs>
              <w:snapToGrid w:val="0"/>
              <w:spacing w:line="360" w:lineRule="auto"/>
              <w:ind w:right="-2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594" w:type="dxa"/>
            <w:tcBorders>
              <w:bottom w:val="single" w:color="auto" w:sz="4" w:space="0"/>
            </w:tcBorders>
            <w:noWrap w:val="0"/>
            <w:vAlign w:val="center"/>
          </w:tcPr>
          <w:p w14:paraId="50E2A358">
            <w:pPr>
              <w:tabs>
                <w:tab w:val="left" w:pos="900"/>
              </w:tabs>
              <w:snapToGrid w:val="0"/>
              <w:spacing w:line="360" w:lineRule="auto"/>
              <w:ind w:left="282" w:right="-2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费用名称</w:t>
            </w:r>
          </w:p>
        </w:tc>
        <w:tc>
          <w:tcPr>
            <w:tcW w:w="1757" w:type="dxa"/>
            <w:noWrap w:val="0"/>
            <w:vAlign w:val="top"/>
          </w:tcPr>
          <w:p w14:paraId="3CBDA2DA">
            <w:pPr>
              <w:tabs>
                <w:tab w:val="left" w:pos="900"/>
              </w:tabs>
              <w:snapToGrid w:val="0"/>
              <w:spacing w:before="120" w:after="120" w:line="360" w:lineRule="auto"/>
              <w:ind w:right="-2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最高投标限价(元)</w:t>
            </w:r>
          </w:p>
        </w:tc>
        <w:tc>
          <w:tcPr>
            <w:tcW w:w="1360" w:type="dxa"/>
            <w:tcBorders>
              <w:bottom w:val="single" w:color="auto" w:sz="4" w:space="0"/>
            </w:tcBorders>
            <w:noWrap w:val="0"/>
            <w:vAlign w:val="center"/>
          </w:tcPr>
          <w:p w14:paraId="12F3E073">
            <w:pPr>
              <w:tabs>
                <w:tab w:val="left" w:pos="900"/>
              </w:tabs>
              <w:snapToGrid w:val="0"/>
              <w:spacing w:before="120" w:after="120" w:line="360" w:lineRule="auto"/>
              <w:ind w:right="-24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</w:rPr>
              <w:t>投标下浮率</w:t>
            </w:r>
          </w:p>
        </w:tc>
        <w:tc>
          <w:tcPr>
            <w:tcW w:w="1639" w:type="dxa"/>
            <w:tcBorders>
              <w:bottom w:val="single" w:color="auto" w:sz="4" w:space="0"/>
            </w:tcBorders>
            <w:noWrap w:val="0"/>
            <w:vAlign w:val="top"/>
          </w:tcPr>
          <w:p w14:paraId="161E2BCA">
            <w:pPr>
              <w:tabs>
                <w:tab w:val="left" w:pos="900"/>
              </w:tabs>
              <w:snapToGrid w:val="0"/>
              <w:spacing w:before="120" w:after="120" w:line="360" w:lineRule="auto"/>
              <w:ind w:right="-2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0"/>
                <w:sz w:val="21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(元)</w:t>
            </w:r>
          </w:p>
        </w:tc>
        <w:tc>
          <w:tcPr>
            <w:tcW w:w="1312" w:type="dxa"/>
            <w:tcBorders>
              <w:bottom w:val="single" w:color="auto" w:sz="4" w:space="0"/>
            </w:tcBorders>
            <w:noWrap w:val="0"/>
            <w:vAlign w:val="center"/>
          </w:tcPr>
          <w:p w14:paraId="38A8EF10">
            <w:pPr>
              <w:tabs>
                <w:tab w:val="left" w:pos="900"/>
              </w:tabs>
              <w:snapToGrid w:val="0"/>
              <w:spacing w:before="120" w:after="120" w:line="360" w:lineRule="auto"/>
              <w:ind w:right="-2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2A406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0" w:hRule="atLeast"/>
          <w:jc w:val="center"/>
        </w:trPr>
        <w:tc>
          <w:tcPr>
            <w:tcW w:w="97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B3A4125">
            <w:pPr>
              <w:tabs>
                <w:tab w:val="left" w:pos="900"/>
              </w:tabs>
              <w:snapToGrid w:val="0"/>
              <w:spacing w:before="60" w:after="120" w:line="360" w:lineRule="auto"/>
              <w:ind w:right="-2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2594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EA527E">
            <w:pPr>
              <w:shd w:val="clear" w:color="auto" w:fill="auto"/>
              <w:tabs>
                <w:tab w:val="left" w:pos="900"/>
              </w:tabs>
              <w:snapToGrid w:val="0"/>
              <w:spacing w:before="60" w:after="120" w:line="360" w:lineRule="auto"/>
              <w:ind w:right="-24"/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惠州至肇庆高速公路白云至三水段项目输电线路迁改工程-多模态数字化协同建设管理技术</w:t>
            </w:r>
          </w:p>
        </w:tc>
        <w:tc>
          <w:tcPr>
            <w:tcW w:w="1757" w:type="dxa"/>
            <w:noWrap w:val="0"/>
            <w:vAlign w:val="center"/>
          </w:tcPr>
          <w:p w14:paraId="6BB33F8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auto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1600000</w:t>
            </w:r>
          </w:p>
        </w:tc>
        <w:tc>
          <w:tcPr>
            <w:tcW w:w="1360" w:type="dxa"/>
            <w:vMerge w:val="restart"/>
            <w:tcBorders>
              <w:top w:val="single" w:color="auto" w:sz="4" w:space="0"/>
            </w:tcBorders>
            <w:noWrap w:val="0"/>
            <w:vAlign w:val="center"/>
          </w:tcPr>
          <w:p w14:paraId="1C254AB4">
            <w:pPr>
              <w:shd w:val="clear" w:color="auto" w:fill="auto"/>
              <w:tabs>
                <w:tab w:val="left" w:pos="900"/>
              </w:tabs>
              <w:snapToGrid w:val="0"/>
              <w:spacing w:before="60" w:after="120" w:line="360" w:lineRule="auto"/>
              <w:ind w:right="-2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%</w:t>
            </w:r>
          </w:p>
        </w:tc>
        <w:tc>
          <w:tcPr>
            <w:tcW w:w="1639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 w14:paraId="49BC1AB2">
            <w:pPr>
              <w:tabs>
                <w:tab w:val="left" w:pos="900"/>
              </w:tabs>
              <w:snapToGrid w:val="0"/>
              <w:spacing w:before="60" w:after="120" w:line="360" w:lineRule="auto"/>
              <w:ind w:right="-2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4DE08C1">
            <w:pPr>
              <w:tabs>
                <w:tab w:val="left" w:pos="900"/>
              </w:tabs>
              <w:snapToGrid w:val="0"/>
              <w:spacing w:before="60" w:after="120" w:line="360" w:lineRule="auto"/>
              <w:ind w:right="-2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 w14:paraId="6E083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3569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6DBFEF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合计（小写）：</w:t>
            </w:r>
          </w:p>
        </w:tc>
        <w:tc>
          <w:tcPr>
            <w:tcW w:w="1757" w:type="dxa"/>
            <w:noWrap w:val="0"/>
            <w:vAlign w:val="center"/>
          </w:tcPr>
          <w:p w14:paraId="6926F40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1600000</w:t>
            </w:r>
          </w:p>
        </w:tc>
        <w:tc>
          <w:tcPr>
            <w:tcW w:w="1360" w:type="dxa"/>
            <w:vMerge w:val="continue"/>
            <w:tcBorders/>
            <w:noWrap w:val="0"/>
            <w:vAlign w:val="center"/>
          </w:tcPr>
          <w:p w14:paraId="0C9B85B0">
            <w:pPr>
              <w:shd w:val="clear" w:color="auto" w:fill="auto"/>
              <w:tabs>
                <w:tab w:val="left" w:pos="900"/>
              </w:tabs>
              <w:snapToGrid w:val="0"/>
              <w:spacing w:before="60" w:after="120" w:line="360" w:lineRule="auto"/>
              <w:ind w:right="-2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</w:pPr>
          </w:p>
        </w:tc>
        <w:tc>
          <w:tcPr>
            <w:tcW w:w="1639" w:type="dxa"/>
            <w:tcBorders>
              <w:top w:val="single" w:color="auto" w:sz="4" w:space="0"/>
            </w:tcBorders>
            <w:noWrap w:val="0"/>
            <w:vAlign w:val="top"/>
          </w:tcPr>
          <w:p w14:paraId="30BA3B86">
            <w:pPr>
              <w:tabs>
                <w:tab w:val="left" w:pos="900"/>
              </w:tabs>
              <w:snapToGrid w:val="0"/>
              <w:spacing w:before="60" w:after="120" w:line="360" w:lineRule="auto"/>
              <w:ind w:right="-2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12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376A42B">
            <w:pPr>
              <w:tabs>
                <w:tab w:val="left" w:pos="900"/>
              </w:tabs>
              <w:snapToGrid w:val="0"/>
              <w:spacing w:before="60" w:after="120" w:line="360" w:lineRule="auto"/>
              <w:ind w:right="-24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BE63967">
      <w:pPr>
        <w:pStyle w:val="4"/>
        <w:bidi w:val="0"/>
        <w:spacing w:line="360" w:lineRule="auto"/>
        <w:rPr>
          <w:rFonts w:hint="eastAsia"/>
          <w:color w:val="auto"/>
          <w:highlight w:val="none"/>
          <w:lang w:val="en-US" w:eastAsia="zh-CN"/>
        </w:rPr>
      </w:pPr>
    </w:p>
    <w:p w14:paraId="1008D6C0">
      <w:pPr>
        <w:pStyle w:val="4"/>
        <w:bidi w:val="0"/>
        <w:spacing w:line="240" w:lineRule="auto"/>
        <w:rPr>
          <w:rFonts w:hint="eastAsia"/>
          <w:color w:val="auto"/>
          <w:sz w:val="22"/>
          <w:szCs w:val="21"/>
          <w:highlight w:val="none"/>
          <w:lang w:val="en-US" w:eastAsia="zh-CN"/>
        </w:rPr>
      </w:pPr>
      <w:r>
        <w:rPr>
          <w:rFonts w:hint="eastAsia"/>
          <w:color w:val="auto"/>
          <w:sz w:val="22"/>
          <w:szCs w:val="21"/>
          <w:highlight w:val="none"/>
          <w:lang w:val="en-US" w:eastAsia="zh-CN"/>
        </w:rPr>
        <w:t>报价要求：</w:t>
      </w:r>
    </w:p>
    <w:p w14:paraId="5295574E">
      <w:pPr>
        <w:pStyle w:val="8"/>
        <w:spacing w:line="240" w:lineRule="auto"/>
        <w:jc w:val="left"/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u w:val="single"/>
          <w:lang w:val="en-US" w:eastAsia="zh-CN" w:bidi="ar-SA"/>
        </w:rPr>
        <w:t>1.按下浮率报价（保留两位小数，如8.88%），同时填报投标报价（投标报价=最高投标限价*（1-投标下浮率），四舍五入保留两位小数）。当投标报价与投标下浮率计算结果不一致时，以投标下浮率为准，按上述公式修订投标报价。</w:t>
      </w:r>
    </w:p>
    <w:p w14:paraId="531D67C7">
      <w:pPr>
        <w:pStyle w:val="8"/>
        <w:spacing w:line="240" w:lineRule="auto"/>
        <w:jc w:val="left"/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u w:val="single"/>
          <w:lang w:val="en-US" w:eastAsia="zh-CN" w:bidi="ar-SA"/>
        </w:rPr>
        <w:t>2.投标下浮率不低于0%为有效报价；当投标下浮率＞15%时应附成本分析报告，充分说明单价和费用的组成、降低成本的合理措施及在其他工程中应用过的经验等，经评审通过后方可视为有效报价。</w:t>
      </w:r>
    </w:p>
    <w:p w14:paraId="23CBB0AF">
      <w:pPr>
        <w:pStyle w:val="8"/>
        <w:spacing w:line="240" w:lineRule="auto"/>
        <w:jc w:val="left"/>
        <w:rPr>
          <w:rFonts w:hint="default"/>
          <w:color w:val="auto"/>
          <w:sz w:val="22"/>
          <w:szCs w:val="22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2"/>
          <w:szCs w:val="22"/>
          <w:highlight w:val="none"/>
          <w:u w:val="single"/>
          <w:lang w:val="en-US" w:eastAsia="zh-CN" w:bidi="ar-SA"/>
        </w:rPr>
        <w:t>3.价格分计算时，投标人评标价按（100-投标人填写的下浮数值）参与计算。如：下浮率为1.88％时，评标价按（100-1.88）参与计算。</w:t>
      </w:r>
    </w:p>
    <w:p w14:paraId="5F06C608">
      <w:pPr>
        <w:spacing w:line="240" w:lineRule="auto"/>
        <w:rPr>
          <w:rFonts w:hint="eastAsia"/>
          <w:color w:val="auto"/>
          <w:highlight w:val="none"/>
          <w:lang w:val="en-US" w:eastAsia="zh-CN"/>
        </w:rPr>
      </w:pPr>
    </w:p>
    <w:p w14:paraId="2599B08A">
      <w:pPr>
        <w:pStyle w:val="3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leftChars="0"/>
        <w:outlineLvl w:val="1"/>
        <w:rPr>
          <w:rFonts w:hint="default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lang w:val="en-US" w:eastAsia="zh-CN" w:bidi="ar-SA"/>
        </w:rPr>
        <w:t>四、结算方式</w:t>
      </w:r>
    </w:p>
    <w:p w14:paraId="29DEEA90">
      <w:pPr>
        <w:pStyle w:val="8"/>
        <w:shd w:val="clear" w:color="auto" w:fill="auto"/>
        <w:spacing w:line="24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本合同为暂定价合同，最终合同结算价为：以经迁改申请单位审定后的施工图预算（对于预算审定项目）或结算审核报告（对于结算审定项目）中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u w:val="single"/>
          <w:lang w:eastAsia="zh-CN"/>
        </w:rPr>
        <w:t>对应合同工作范围的费用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×（1-投标下浮率。  </w:t>
      </w:r>
    </w:p>
    <w:p w14:paraId="0D87C8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i w:val="0"/>
          <w:i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五、分包要求</w:t>
      </w:r>
    </w:p>
    <w:p w14:paraId="06ACCED1">
      <w:pPr>
        <w:pStyle w:val="11"/>
        <w:numPr>
          <w:ilvl w:val="0"/>
          <w:numId w:val="0"/>
        </w:numPr>
        <w:spacing w:line="240" w:lineRule="auto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Wingdings" w:hAnsi="Wingdings" w:cs="Wingdings"/>
          <w:color w:val="auto"/>
          <w:sz w:val="24"/>
          <w:szCs w:val="24"/>
          <w:highlight w:val="none"/>
        </w:rPr>
        <w:sym w:font="Wingdings" w:char="00FE"/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不允许分包</w:t>
      </w:r>
    </w:p>
    <w:p w14:paraId="3F5632C5">
      <w:pPr>
        <w:pStyle w:val="11"/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default" w:ascii="Wingdings" w:hAnsi="Wingdings" w:cs="Wingdings"/>
          <w:color w:val="auto"/>
          <w:sz w:val="24"/>
          <w:szCs w:val="24"/>
          <w:highlight w:val="none"/>
          <w:lang w:eastAsia="zh-CN"/>
        </w:rPr>
        <w:sym w:font="Wingdings" w:char="00A8"/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允许分包</w:t>
      </w:r>
    </w:p>
    <w:p w14:paraId="656E5FB2">
      <w:pP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default"/>
          <w:color w:val="auto"/>
          <w:highlight w:val="none"/>
          <w:lang w:val="en-US" w:eastAsia="zh-CN"/>
        </w:rPr>
        <w:br w:type="page"/>
      </w:r>
    </w:p>
    <w:p w14:paraId="15B3F4FB">
      <w:pPr>
        <w:pStyle w:val="10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技术标准、要求及图纸（对应招标文件 第五章）</w:t>
      </w:r>
    </w:p>
    <w:p w14:paraId="6106A1D1">
      <w:pPr>
        <w:pStyle w:val="3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 xml:space="preserve"> 管理规范和技术（规范）标准（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详见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合同附件）</w:t>
      </w:r>
    </w:p>
    <w:p w14:paraId="16DF1480">
      <w:pPr>
        <w:pStyle w:val="10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</w:p>
    <w:p w14:paraId="396E8F20">
      <w:pPr>
        <w:pStyle w:val="3"/>
        <w:spacing w:before="0" w:after="0" w:line="240" w:lineRule="auto"/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技术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  <w:lang w:val="en-US" w:eastAsia="zh-CN"/>
        </w:rPr>
        <w:t>及管理</w:t>
      </w: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要求</w:t>
      </w:r>
    </w:p>
    <w:p w14:paraId="6F9F64F8">
      <w:pPr>
        <w:autoSpaceDE w:val="0"/>
        <w:autoSpaceDN w:val="0"/>
        <w:adjustRightInd w:val="0"/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kern w:val="0"/>
          <w:sz w:val="24"/>
          <w:szCs w:val="24"/>
          <w:highlight w:val="none"/>
          <w:lang w:val="zh-CN"/>
        </w:rPr>
        <w:t>（一）满足南方电网公司基建管理制度、建设单位的质量、环境和职业健康安全管理体系文件、其他有关制度和规定。</w:t>
      </w:r>
    </w:p>
    <w:p w14:paraId="1F46CF16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="157" w:beforeLines="50" w:line="360" w:lineRule="auto"/>
        <w:ind w:leftChars="0"/>
        <w:textAlignment w:val="auto"/>
        <w:outlineLvl w:val="1"/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i w:val="0"/>
          <w:iCs/>
          <w:color w:val="auto"/>
          <w:kern w:val="0"/>
          <w:sz w:val="24"/>
          <w:szCs w:val="24"/>
          <w:highlight w:val="none"/>
          <w:lang w:val="zh-CN"/>
        </w:rPr>
        <w:t>（二）符合图纸及技术文件的要求（如有，详见招标文件附件）。</w:t>
      </w:r>
    </w:p>
    <w:p w14:paraId="2518B7DB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</w:pPr>
    </w:p>
    <w:p w14:paraId="6CC52486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vertAlign w:val="baseline"/>
          <w:lang w:val="en-US" w:eastAsia="zh-CN"/>
        </w:rPr>
      </w:pPr>
    </w:p>
    <w:p w14:paraId="02BEF41B"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tLeas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</w:pPr>
    </w:p>
    <w:p w14:paraId="7AF89F36">
      <w:pPr>
        <w:bidi w:val="0"/>
        <w:rPr>
          <w:rFonts w:hint="eastAsia"/>
          <w:color w:val="auto"/>
          <w:lang w:val="en-US" w:eastAsia="zh-CN"/>
        </w:rPr>
      </w:pPr>
      <w:bookmarkStart w:id="2" w:name="_GoBack"/>
      <w:bookmarkEnd w:id="2"/>
    </w:p>
    <w:p w14:paraId="28120149">
      <w:pPr>
        <w:bidi w:val="0"/>
        <w:rPr>
          <w:rFonts w:hint="eastAsia"/>
          <w:color w:val="auto"/>
          <w:lang w:val="en-US" w:eastAsia="zh-CN"/>
        </w:rPr>
      </w:pPr>
    </w:p>
    <w:p w14:paraId="0A48391A">
      <w:pPr>
        <w:rPr>
          <w:rFonts w:hint="eastAsia"/>
          <w:color w:val="auto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EE20F8"/>
    <w:multiLevelType w:val="singleLevel"/>
    <w:tmpl w:val="EAEE20F8"/>
    <w:lvl w:ilvl="0" w:tentative="0">
      <w:start w:val="2"/>
      <w:numFmt w:val="chineseCounting"/>
      <w:suff w:val="nothing"/>
      <w:lvlText w:val="第%1部分."/>
      <w:lvlJc w:val="left"/>
      <w:rPr>
        <w:rFonts w:hint="eastAsia"/>
      </w:rPr>
    </w:lvl>
  </w:abstractNum>
  <w:abstractNum w:abstractNumId="1">
    <w:nsid w:val="0D7920FF"/>
    <w:multiLevelType w:val="singleLevel"/>
    <w:tmpl w:val="0D7920FF"/>
    <w:lvl w:ilvl="0" w:tentative="0">
      <w:start w:val="1"/>
      <w:numFmt w:val="chineseCounting"/>
      <w:suff w:val="nothing"/>
      <w:lvlText w:val="第%1部分.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lYzViOTg3MzA5ZmNlNTA4ZDdkNmFjYWRlNWJjNjYifQ=="/>
  </w:docVars>
  <w:rsids>
    <w:rsidRoot w:val="24F737D8"/>
    <w:rsid w:val="001270A5"/>
    <w:rsid w:val="004133FA"/>
    <w:rsid w:val="007A4AD7"/>
    <w:rsid w:val="029403CC"/>
    <w:rsid w:val="03577264"/>
    <w:rsid w:val="03D043B7"/>
    <w:rsid w:val="0424278D"/>
    <w:rsid w:val="04A24F71"/>
    <w:rsid w:val="04C80162"/>
    <w:rsid w:val="05216546"/>
    <w:rsid w:val="05254D55"/>
    <w:rsid w:val="067415D1"/>
    <w:rsid w:val="076F3B3B"/>
    <w:rsid w:val="07CA37DF"/>
    <w:rsid w:val="0A362FD0"/>
    <w:rsid w:val="0B624CBC"/>
    <w:rsid w:val="0BC07002"/>
    <w:rsid w:val="0CED6540"/>
    <w:rsid w:val="0DAF1840"/>
    <w:rsid w:val="0E2F4C02"/>
    <w:rsid w:val="0E3616E0"/>
    <w:rsid w:val="0E394169"/>
    <w:rsid w:val="0F81532F"/>
    <w:rsid w:val="107144D2"/>
    <w:rsid w:val="108B712E"/>
    <w:rsid w:val="116419AD"/>
    <w:rsid w:val="11DF6CFE"/>
    <w:rsid w:val="122500C5"/>
    <w:rsid w:val="12C45D3D"/>
    <w:rsid w:val="13383335"/>
    <w:rsid w:val="14440D4B"/>
    <w:rsid w:val="14781EB9"/>
    <w:rsid w:val="14B666F3"/>
    <w:rsid w:val="14ED3A49"/>
    <w:rsid w:val="15056A61"/>
    <w:rsid w:val="160C5162"/>
    <w:rsid w:val="16127265"/>
    <w:rsid w:val="16CA6389"/>
    <w:rsid w:val="17172EF7"/>
    <w:rsid w:val="17722603"/>
    <w:rsid w:val="18E57496"/>
    <w:rsid w:val="1A386933"/>
    <w:rsid w:val="1A4F176B"/>
    <w:rsid w:val="1B663F82"/>
    <w:rsid w:val="1BDA64E0"/>
    <w:rsid w:val="1C2D4629"/>
    <w:rsid w:val="1C43636C"/>
    <w:rsid w:val="1C8618B6"/>
    <w:rsid w:val="1C885EDE"/>
    <w:rsid w:val="1D904223"/>
    <w:rsid w:val="1F653C49"/>
    <w:rsid w:val="1FF914D4"/>
    <w:rsid w:val="2026764F"/>
    <w:rsid w:val="20735046"/>
    <w:rsid w:val="216F4D5B"/>
    <w:rsid w:val="21C11DC8"/>
    <w:rsid w:val="22837B29"/>
    <w:rsid w:val="238D564A"/>
    <w:rsid w:val="23B738BA"/>
    <w:rsid w:val="24E67795"/>
    <w:rsid w:val="24F737D8"/>
    <w:rsid w:val="2525523D"/>
    <w:rsid w:val="26EB3B6A"/>
    <w:rsid w:val="2770025A"/>
    <w:rsid w:val="291D5E51"/>
    <w:rsid w:val="2A7A0302"/>
    <w:rsid w:val="2BE07E0A"/>
    <w:rsid w:val="2CA17C08"/>
    <w:rsid w:val="2CD423F8"/>
    <w:rsid w:val="2DDF66E3"/>
    <w:rsid w:val="2EB80260"/>
    <w:rsid w:val="2FF65FF8"/>
    <w:rsid w:val="300D195C"/>
    <w:rsid w:val="30BF37B5"/>
    <w:rsid w:val="313B0851"/>
    <w:rsid w:val="31881C94"/>
    <w:rsid w:val="31B5119A"/>
    <w:rsid w:val="31C955A9"/>
    <w:rsid w:val="323F587B"/>
    <w:rsid w:val="32AB4B32"/>
    <w:rsid w:val="33B200AF"/>
    <w:rsid w:val="33C75702"/>
    <w:rsid w:val="33E61BE2"/>
    <w:rsid w:val="34CB6A7A"/>
    <w:rsid w:val="361736AD"/>
    <w:rsid w:val="36D200CF"/>
    <w:rsid w:val="37363D4B"/>
    <w:rsid w:val="37713470"/>
    <w:rsid w:val="379951F8"/>
    <w:rsid w:val="3812280E"/>
    <w:rsid w:val="38382DC3"/>
    <w:rsid w:val="38DE045C"/>
    <w:rsid w:val="39374B6F"/>
    <w:rsid w:val="3987396D"/>
    <w:rsid w:val="3A394391"/>
    <w:rsid w:val="3B595AEE"/>
    <w:rsid w:val="3BF24D81"/>
    <w:rsid w:val="3BFE7BEA"/>
    <w:rsid w:val="3C4750A3"/>
    <w:rsid w:val="3C4A35F1"/>
    <w:rsid w:val="3E0C635B"/>
    <w:rsid w:val="420455E6"/>
    <w:rsid w:val="42E73C50"/>
    <w:rsid w:val="44007FA0"/>
    <w:rsid w:val="44982260"/>
    <w:rsid w:val="44D414C9"/>
    <w:rsid w:val="46472D5E"/>
    <w:rsid w:val="473D03D6"/>
    <w:rsid w:val="48F8461D"/>
    <w:rsid w:val="4941408E"/>
    <w:rsid w:val="496A657E"/>
    <w:rsid w:val="49843C09"/>
    <w:rsid w:val="49E27868"/>
    <w:rsid w:val="4B3A1BDA"/>
    <w:rsid w:val="4BF83760"/>
    <w:rsid w:val="4C5B4768"/>
    <w:rsid w:val="4C8349B8"/>
    <w:rsid w:val="4CD47602"/>
    <w:rsid w:val="4D9C3C64"/>
    <w:rsid w:val="4E287FC5"/>
    <w:rsid w:val="4F913533"/>
    <w:rsid w:val="504766FD"/>
    <w:rsid w:val="54B37833"/>
    <w:rsid w:val="552A0C96"/>
    <w:rsid w:val="55BB16B6"/>
    <w:rsid w:val="55C3156A"/>
    <w:rsid w:val="560A4CB8"/>
    <w:rsid w:val="5683367D"/>
    <w:rsid w:val="5782183A"/>
    <w:rsid w:val="57A040ED"/>
    <w:rsid w:val="57BD355E"/>
    <w:rsid w:val="58D21C48"/>
    <w:rsid w:val="58D25F84"/>
    <w:rsid w:val="59427AC9"/>
    <w:rsid w:val="5B0320E2"/>
    <w:rsid w:val="5B6C7B11"/>
    <w:rsid w:val="5B8B11A7"/>
    <w:rsid w:val="5B9E2EC4"/>
    <w:rsid w:val="5CD10D7E"/>
    <w:rsid w:val="5EA60D4B"/>
    <w:rsid w:val="5F94157A"/>
    <w:rsid w:val="60002310"/>
    <w:rsid w:val="608606DE"/>
    <w:rsid w:val="610E324A"/>
    <w:rsid w:val="61F31EFD"/>
    <w:rsid w:val="62E62FCC"/>
    <w:rsid w:val="63066BC7"/>
    <w:rsid w:val="63D0487B"/>
    <w:rsid w:val="64672037"/>
    <w:rsid w:val="64911DA0"/>
    <w:rsid w:val="65945D8D"/>
    <w:rsid w:val="66C35559"/>
    <w:rsid w:val="67D57489"/>
    <w:rsid w:val="68570F93"/>
    <w:rsid w:val="685E0B6F"/>
    <w:rsid w:val="6A1D611D"/>
    <w:rsid w:val="6A287B5E"/>
    <w:rsid w:val="6A4B1883"/>
    <w:rsid w:val="6B303A1A"/>
    <w:rsid w:val="6BAE441C"/>
    <w:rsid w:val="6BEA109C"/>
    <w:rsid w:val="6C704794"/>
    <w:rsid w:val="6CAD6BDB"/>
    <w:rsid w:val="6CB51A69"/>
    <w:rsid w:val="6D212793"/>
    <w:rsid w:val="6DAA2FDF"/>
    <w:rsid w:val="6DF95579"/>
    <w:rsid w:val="6E121228"/>
    <w:rsid w:val="70D1495F"/>
    <w:rsid w:val="70ED510D"/>
    <w:rsid w:val="71135DB9"/>
    <w:rsid w:val="712F63C0"/>
    <w:rsid w:val="72717CD1"/>
    <w:rsid w:val="743E1546"/>
    <w:rsid w:val="74614F7E"/>
    <w:rsid w:val="74695E39"/>
    <w:rsid w:val="754C6F3B"/>
    <w:rsid w:val="75B11AFF"/>
    <w:rsid w:val="75D32619"/>
    <w:rsid w:val="768D126A"/>
    <w:rsid w:val="778A3145"/>
    <w:rsid w:val="780B6A75"/>
    <w:rsid w:val="78F14D7D"/>
    <w:rsid w:val="79117830"/>
    <w:rsid w:val="79F83E18"/>
    <w:rsid w:val="7C351656"/>
    <w:rsid w:val="7C8C53E6"/>
    <w:rsid w:val="7CDF57EF"/>
    <w:rsid w:val="7CED7DC5"/>
    <w:rsid w:val="7D0F76D8"/>
    <w:rsid w:val="7E3420E0"/>
    <w:rsid w:val="7F1B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3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3"/>
    </w:pPr>
    <w:rPr>
      <w:rFonts w:ascii="Times New Roman" w:hAnsi="Times New Roman"/>
      <w:b/>
      <w:sz w:val="24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8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8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9">
    <w:name w:val="Body Text Indent"/>
    <w:basedOn w:val="1"/>
    <w:qFormat/>
    <w:uiPriority w:val="0"/>
    <w:pPr>
      <w:spacing w:after="120"/>
      <w:ind w:left="420" w:leftChars="200"/>
    </w:pPr>
  </w:style>
  <w:style w:type="paragraph" w:styleId="10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1">
    <w:name w:val="Body Text First Indent"/>
    <w:basedOn w:val="7"/>
    <w:qFormat/>
    <w:uiPriority w:val="0"/>
    <w:pPr>
      <w:keepNext w:val="0"/>
      <w:keepLines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Lines="50" w:beforeAutospacing="0" w:afterLines="50" w:afterAutospacing="0" w:line="360" w:lineRule="auto"/>
      <w:ind w:firstLine="200" w:firstLineChars="200"/>
      <w:jc w:val="both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6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  <w:style w:type="character" w:customStyle="1" w:styleId="17">
    <w:name w:val="font1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1380</Words>
  <Characters>1603</Characters>
  <Lines>0</Lines>
  <Paragraphs>0</Paragraphs>
  <TotalTime>0</TotalTime>
  <ScaleCrop>false</ScaleCrop>
  <LinksUpToDate>false</LinksUpToDate>
  <CharactersWithSpaces>1778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马骏安</cp:lastModifiedBy>
  <cp:lastPrinted>2025-01-15T03:12:00Z</cp:lastPrinted>
  <dcterms:modified xsi:type="dcterms:W3CDTF">2025-09-04T01:50:00Z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39EDA6501DEA44B784472C26C29AD409</vt:lpwstr>
  </property>
  <property fmtid="{D5CDD505-2E9C-101B-9397-08002B2CF9AE}" pid="4" name="KSOTemplateDocerSaveRecord">
    <vt:lpwstr>eyJoZGlkIjoiYzBhNDRiMWEyNzgyMzNiNGQ2YWM5MGU3Mjg0NWEwNzIiLCJ1c2VySWQiOiI3MDM5OTYzMzMifQ==</vt:lpwstr>
  </property>
</Properties>
</file>