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BA8EC">
      <w:pPr>
        <w:pStyle w:val="6"/>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广州海珠站配套220千伏线路工程监理（标段三）</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14:paraId="427069E9">
      <w:pPr>
        <w:pStyle w:val="6"/>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1637B2FB">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9"/>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3A72C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15224970">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2E2DAAEA">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464CF78A">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35B5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ABCC09C">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0711923B">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7611F9C2">
            <w:pPr>
              <w:pStyle w:val="6"/>
              <w:spacing w:line="480" w:lineRule="exact"/>
              <w:jc w:val="cente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snapToGrid w:val="0"/>
                <w:sz w:val="24"/>
                <w:szCs w:val="24"/>
                <w:highlight w:val="none"/>
              </w:rPr>
              <w:t>广供电基〔2025〕26号</w:t>
            </w:r>
          </w:p>
        </w:tc>
      </w:tr>
      <w:tr w14:paraId="472C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E13EC6A">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690FD542">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22F6DFD1">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穗发改核准〔2025〕10号</w:t>
            </w:r>
          </w:p>
        </w:tc>
      </w:tr>
      <w:tr w14:paraId="6F45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42EED7C">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2D7081AC">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577A7A3D">
            <w:pPr>
              <w:pStyle w:val="6"/>
              <w:spacing w:line="480" w:lineRule="exact"/>
              <w:jc w:val="cente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snapToGrid w:val="0"/>
                <w:sz w:val="24"/>
                <w:szCs w:val="24"/>
                <w:highlight w:val="none"/>
              </w:rPr>
              <w:t>广电规〔</w:t>
            </w:r>
            <w:r>
              <w:rPr>
                <w:rFonts w:hint="eastAsia" w:asciiTheme="minorEastAsia" w:hAnsiTheme="minorEastAsia" w:eastAsiaTheme="minorEastAsia" w:cstheme="minorEastAsia"/>
                <w:snapToGrid w:val="0"/>
                <w:sz w:val="24"/>
                <w:szCs w:val="24"/>
                <w:highlight w:val="none"/>
                <w:lang w:val="en-US" w:eastAsia="zh-CN"/>
              </w:rPr>
              <w:t>2025</w:t>
            </w:r>
            <w:r>
              <w:rPr>
                <w:rFonts w:hint="eastAsia" w:asciiTheme="minorEastAsia" w:hAnsiTheme="minorEastAsia" w:eastAsiaTheme="minorEastAsia" w:cstheme="minorEastAsia"/>
                <w:snapToGrid w:val="0"/>
                <w:sz w:val="24"/>
                <w:szCs w:val="24"/>
                <w:highlight w:val="none"/>
              </w:rPr>
              <w:t>〕</w:t>
            </w:r>
            <w:r>
              <w:rPr>
                <w:rFonts w:hint="eastAsia" w:asciiTheme="minorEastAsia" w:hAnsiTheme="minorEastAsia" w:eastAsiaTheme="minorEastAsia" w:cstheme="minorEastAsia"/>
                <w:snapToGrid w:val="0"/>
                <w:sz w:val="24"/>
                <w:szCs w:val="24"/>
                <w:highlight w:val="none"/>
                <w:lang w:val="en-US" w:eastAsia="zh-CN"/>
              </w:rPr>
              <w:t>26</w:t>
            </w:r>
            <w:r>
              <w:rPr>
                <w:rFonts w:hint="eastAsia" w:asciiTheme="minorEastAsia" w:hAnsiTheme="minorEastAsia" w:eastAsiaTheme="minorEastAsia" w:cstheme="minorEastAsia"/>
                <w:snapToGrid w:val="0"/>
                <w:sz w:val="24"/>
                <w:szCs w:val="24"/>
                <w:highlight w:val="none"/>
              </w:rPr>
              <w:t>号</w:t>
            </w:r>
          </w:p>
        </w:tc>
      </w:tr>
      <w:tr w14:paraId="63D1C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913C3AB">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7F2B432E">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2605A20F">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6E00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FD54B16">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09B7C315">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0044AB02">
            <w:pPr>
              <w:pStyle w:val="6"/>
              <w:spacing w:line="480" w:lineRule="exact"/>
              <w:jc w:val="cente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snapToGrid w:val="0"/>
                <w:sz w:val="24"/>
                <w:szCs w:val="24"/>
                <w:highlight w:val="none"/>
              </w:rPr>
              <w:t>广州市</w:t>
            </w:r>
          </w:p>
        </w:tc>
      </w:tr>
      <w:tr w14:paraId="2ABAC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693D4DB5">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59ACE4A3">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6B09A720">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中国能源建设集团广东省电力设计研究院有限公司</w:t>
            </w:r>
          </w:p>
        </w:tc>
      </w:tr>
      <w:tr w14:paraId="66328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776" w:type="dxa"/>
            <w:noWrap w:val="0"/>
            <w:vAlign w:val="center"/>
          </w:tcPr>
          <w:p w14:paraId="3B833241">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4F05A8B2">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14:paraId="1F9EB412">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合同签订之日起至2028年12月30日，实际工期以开工报告、竣工报告为准。</w:t>
            </w:r>
          </w:p>
          <w:p w14:paraId="0AC8A14C">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p>
        </w:tc>
      </w:tr>
    </w:tbl>
    <w:p w14:paraId="1A684A17">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48EF0889">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68F2E019">
      <w:pPr>
        <w:autoSpaceDE w:val="0"/>
        <w:autoSpaceDN w:val="0"/>
        <w:adjustRightInd w:val="0"/>
        <w:spacing w:line="240" w:lineRule="auto"/>
        <w:ind w:firstLine="360"/>
        <w:jc w:val="left"/>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※辅助房部分:</w:t>
      </w:r>
    </w:p>
    <w:p w14:paraId="78482C8F">
      <w:pPr>
        <w:pStyle w:val="6"/>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辅助用房工程：本工程包括“1#变电站业务技术用房、2#变电站运维中心楼、3#新型电力系统示范展示区及智能变电站控制中心楼、4#电力隧道运维中心楼”，总建筑面积约为29486.98m</w:t>
      </w:r>
      <w:r>
        <w:rPr>
          <w:rFonts w:hint="eastAsia" w:ascii="宋体" w:hAnsi="宋体" w:eastAsia="宋体" w:cs="宋体"/>
          <w:b w:val="0"/>
          <w:bCs w:val="0"/>
          <w:color w:val="auto"/>
          <w:sz w:val="24"/>
          <w:szCs w:val="24"/>
          <w:highlight w:val="none"/>
          <w:vertAlign w:val="superscript"/>
          <w:lang w:val="en-US" w:eastAsia="zh-CN"/>
        </w:rPr>
        <w:t>2</w:t>
      </w:r>
      <w:r>
        <w:rPr>
          <w:rFonts w:hint="eastAsia" w:ascii="宋体" w:hAnsi="宋体" w:eastAsia="宋体" w:cs="宋体"/>
          <w:b w:val="0"/>
          <w:bCs w:val="0"/>
          <w:color w:val="auto"/>
          <w:sz w:val="24"/>
          <w:szCs w:val="24"/>
          <w:highlight w:val="none"/>
          <w:lang w:val="en-US" w:eastAsia="zh-CN"/>
        </w:rPr>
        <w:t>，其中地上面积约为22144.26m</w:t>
      </w:r>
      <w:r>
        <w:rPr>
          <w:rFonts w:hint="eastAsia" w:ascii="宋体" w:hAnsi="宋体" w:eastAsia="宋体" w:cs="宋体"/>
          <w:b w:val="0"/>
          <w:bCs w:val="0"/>
          <w:color w:val="auto"/>
          <w:sz w:val="24"/>
          <w:szCs w:val="24"/>
          <w:highlight w:val="none"/>
          <w:vertAlign w:val="superscript"/>
          <w:lang w:val="en-US" w:eastAsia="zh-CN"/>
        </w:rPr>
        <w:t>2</w:t>
      </w:r>
      <w:r>
        <w:rPr>
          <w:rFonts w:hint="eastAsia" w:ascii="宋体" w:hAnsi="宋体" w:eastAsia="宋体" w:cs="宋体"/>
          <w:b w:val="0"/>
          <w:bCs w:val="0"/>
          <w:color w:val="auto"/>
          <w:sz w:val="24"/>
          <w:szCs w:val="24"/>
          <w:highlight w:val="none"/>
          <w:lang w:val="en-US" w:eastAsia="zh-CN"/>
        </w:rPr>
        <w:t>，地下面积约为7303.57m</w:t>
      </w:r>
      <w:r>
        <w:rPr>
          <w:rFonts w:hint="eastAsia" w:ascii="宋体" w:hAnsi="宋体" w:eastAsia="宋体" w:cs="宋体"/>
          <w:b w:val="0"/>
          <w:bCs w:val="0"/>
          <w:color w:val="auto"/>
          <w:sz w:val="24"/>
          <w:szCs w:val="24"/>
          <w:highlight w:val="none"/>
          <w:vertAlign w:val="superscript"/>
          <w:lang w:val="en-US" w:eastAsia="zh-CN"/>
        </w:rPr>
        <w:t>2</w:t>
      </w:r>
      <w:r>
        <w:rPr>
          <w:rFonts w:hint="eastAsia" w:ascii="宋体" w:hAnsi="宋体" w:eastAsia="宋体" w:cs="宋体"/>
          <w:b w:val="0"/>
          <w:bCs w:val="0"/>
          <w:color w:val="auto"/>
          <w:sz w:val="24"/>
          <w:szCs w:val="24"/>
          <w:highlight w:val="none"/>
          <w:lang w:val="en-US" w:eastAsia="zh-CN"/>
        </w:rPr>
        <w:t>；建筑高度约为24m。地下室采用基坑支护开挖方式。</w:t>
      </w:r>
    </w:p>
    <w:p w14:paraId="00481695">
      <w:pPr>
        <w:pStyle w:val="6"/>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具体建设规模以施工图纸为准。</w:t>
      </w:r>
    </w:p>
    <w:p w14:paraId="05FA56E2">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14:paraId="43AD3ABA">
      <w:pPr>
        <w:keepNext w:val="0"/>
        <w:keepLines w:val="0"/>
        <w:pageBreakBefore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pPr>
      <w:r>
        <w:rPr>
          <w:rFonts w:hint="eastAsia" w:hAnsi="宋体"/>
          <w:color w:val="auto"/>
          <w:sz w:val="24"/>
          <w:szCs w:val="24"/>
          <w:highlight w:val="none"/>
          <w:u w:val="single"/>
        </w:rPr>
        <w:t>勘察设计、施工准备（含三通一平）、施工、竣工结算、缺陷责任期、电子化移交的全过程监理</w:t>
      </w:r>
      <w:r>
        <w:rPr>
          <w:rFonts w:hint="eastAsia" w:hAnsi="宋体"/>
          <w:color w:val="auto"/>
          <w:sz w:val="24"/>
          <w:szCs w:val="24"/>
          <w:highlight w:val="none"/>
          <w:u w:val="single"/>
          <w:lang w:eastAsia="zh-CN"/>
        </w:rPr>
        <w:t>，以及初步设计概算（或施工图预算）中监理计费范围以外但与工程相关的监理工作。</w:t>
      </w:r>
      <w:r>
        <w:rPr>
          <w:rFonts w:hint="eastAsia" w:hAnsi="宋体"/>
          <w:color w:val="auto"/>
          <w:sz w:val="24"/>
          <w:szCs w:val="24"/>
          <w:highlight w:val="none"/>
          <w:u w:val="single"/>
        </w:rPr>
        <w:t>按照建设单位要求使用工程信息管理系统</w:t>
      </w:r>
      <w:r>
        <w:rPr>
          <w:rFonts w:hint="eastAsia" w:hAnsi="宋体"/>
          <w:color w:val="auto"/>
          <w:sz w:val="24"/>
          <w:szCs w:val="24"/>
          <w:highlight w:val="none"/>
        </w:rPr>
        <w:t>。</w:t>
      </w:r>
    </w:p>
    <w:p w14:paraId="0C8D0941">
      <w:pPr>
        <w:rPr>
          <w:rFonts w:hint="eastAsia"/>
          <w:highlight w:val="none"/>
          <w:lang w:val="en-US" w:eastAsia="zh-CN"/>
        </w:rPr>
      </w:pPr>
    </w:p>
    <w:p w14:paraId="0421C8E0">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p w14:paraId="2FBF3644">
      <w:pPr>
        <w:rPr>
          <w:rFonts w:hint="eastAsia" w:ascii="宋体" w:hAnsi="宋体" w:eastAsia="宋体" w:cs="宋体"/>
          <w:color w:val="auto"/>
          <w:kern w:val="2"/>
          <w:sz w:val="24"/>
          <w:szCs w:val="24"/>
          <w:highlight w:val="none"/>
          <w:u w:val="none"/>
          <w:lang w:val="en-US" w:eastAsia="zh-CN" w:bidi="ar-SA"/>
        </w:rPr>
      </w:pPr>
    </w:p>
    <w:tbl>
      <w:tblPr>
        <w:tblStyle w:val="8"/>
        <w:tblW w:w="10153"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4224"/>
        <w:gridCol w:w="1752"/>
        <w:gridCol w:w="960"/>
        <w:gridCol w:w="960"/>
        <w:gridCol w:w="1297"/>
      </w:tblGrid>
      <w:tr w14:paraId="74FBC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2CE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CD8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工程或费用名称</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73D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最高投标限价</w:t>
            </w:r>
            <w:r>
              <w:rPr>
                <w:rStyle w:val="11"/>
                <w:lang w:val="en-US" w:eastAsia="zh-CN" w:bidi="ar"/>
              </w:rPr>
              <w:t>(元)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F7D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投标下浮率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14:paraId="0C44C2A9">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投标报价</w:t>
            </w:r>
            <w:r>
              <w:rPr>
                <w:rStyle w:val="11"/>
                <w:lang w:val="en-US" w:eastAsia="zh-CN" w:bidi="ar"/>
              </w:rPr>
              <w:t>(元)</w:t>
            </w: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165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r>
      <w:tr w14:paraId="615DE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286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ABD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辅助用房工程</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A75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7153693.32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5F566">
            <w:pPr>
              <w:keepNext w:val="0"/>
              <w:keepLines w:val="0"/>
              <w:widowControl/>
              <w:suppressLineNumbers w:val="0"/>
              <w:jc w:val="center"/>
              <w:textAlignment w:val="center"/>
              <w:rPr>
                <w:rFonts w:hint="eastAsia" w:ascii="宋体" w:hAnsi="宋体" w:eastAsia="宋体" w:cs="宋体"/>
                <w:i w:val="0"/>
                <w:iCs w:val="0"/>
                <w:color w:val="000000"/>
                <w:sz w:val="21"/>
                <w:szCs w:val="21"/>
                <w:u w:val="single"/>
              </w:rPr>
            </w:pPr>
            <w:r>
              <w:rPr>
                <w:rFonts w:hint="eastAsia" w:ascii="宋体" w:hAnsi="宋体" w:eastAsia="宋体" w:cs="宋体"/>
                <w:i w:val="0"/>
                <w:iCs w:val="0"/>
                <w:color w:val="000000"/>
                <w:kern w:val="0"/>
                <w:sz w:val="21"/>
                <w:szCs w:val="21"/>
                <w:u w:val="single"/>
                <w:lang w:val="en-US" w:eastAsia="zh-CN" w:bidi="ar"/>
              </w:rPr>
              <w:t xml:space="preserve">    </w:t>
            </w:r>
            <w:r>
              <w:rPr>
                <w:rStyle w:val="11"/>
                <w:u w:val="singl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E2881">
            <w:pPr>
              <w:jc w:val="center"/>
              <w:rPr>
                <w:rFonts w:hint="eastAsia" w:ascii="宋体" w:hAnsi="宋体" w:eastAsia="宋体" w:cs="宋体"/>
                <w:b/>
                <w:bCs/>
                <w:i w:val="0"/>
                <w:iCs w:val="0"/>
                <w:color w:val="000000"/>
                <w:sz w:val="21"/>
                <w:szCs w:val="21"/>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9A1A">
            <w:pPr>
              <w:jc w:val="left"/>
              <w:rPr>
                <w:rFonts w:hint="eastAsia" w:ascii="宋体" w:hAnsi="宋体" w:eastAsia="宋体" w:cs="宋体"/>
                <w:i w:val="0"/>
                <w:iCs w:val="0"/>
                <w:color w:val="000000"/>
                <w:sz w:val="21"/>
                <w:szCs w:val="21"/>
                <w:u w:val="none"/>
              </w:rPr>
            </w:pPr>
          </w:p>
        </w:tc>
      </w:tr>
      <w:tr w14:paraId="0ECF4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7816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3134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合 </w:t>
            </w:r>
            <w:r>
              <w:rPr>
                <w:rStyle w:val="12"/>
                <w:lang w:val="en-US" w:eastAsia="zh-CN" w:bidi="ar"/>
              </w:rPr>
              <w:t xml:space="preserve"> 计</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0FDA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7153693.32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mc:AlternateContent>
              <mc:Choice Requires="wpsCustomData">
                <wpsCustomData:diagonals>
                  <wpsCustomData:diagonal from="20000" to="0">
                    <wpsCustomData:border w:val="single" w:color="000000" w:sz="4" w:space="0"/>
                  </wpsCustomData:diagonal>
                </wpsCustomData:diagonals>
              </mc:Choice>
            </mc:AlternateContent>
          </w:tcPr>
          <w:p w14:paraId="112AFDBB">
            <w:pPr>
              <w:snapToGrid w:val="0"/>
              <w:spacing w:line="240" w:lineRule="auto"/>
              <w:jc w:val="center"/>
              <mc:AlternateContent>
                <mc:Choice Requires="wpsCustomData">
                  <wpsCustomData:diagonalParaType/>
                </mc:Choice>
              </mc:AlternateContent>
              <w:rPr>
                <w:rFonts w:hint="eastAsia" w:ascii="宋体" w:hAnsi="宋体" w:eastAsia="宋体" w:cs="宋体"/>
                <w:b/>
                <w:bCs/>
                <w:i w:val="0"/>
                <w:iCs w:val="0"/>
                <w:color w:val="000000"/>
                <w:sz w:val="21"/>
                <w:szCs w:val="21"/>
                <w:u w:val="none"/>
                <w:lang w:val="en-US" w:eastAsia="zh-CN"/>
              </w:rPr>
            </w:pPr>
          </w:p>
          <w:p w14:paraId="7A773237">
            <w:pPr>
              <w:jc w:val="center"/>
              <w:rPr>
                <w:rFonts w:hint="eastAsia" w:ascii="宋体" w:hAnsi="宋体" w:eastAsia="宋体" w:cs="宋体"/>
                <w:b/>
                <w:bCs/>
                <w:i w:val="0"/>
                <w:iCs w:val="0"/>
                <w:color w:val="000000"/>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7EBB9">
            <w:pPr>
              <w:jc w:val="center"/>
              <w:rPr>
                <w:rFonts w:hint="eastAsia" w:ascii="宋体" w:hAnsi="宋体" w:eastAsia="宋体" w:cs="宋体"/>
                <w:b/>
                <w:bCs/>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53438">
            <w:pPr>
              <w:rPr>
                <w:rFonts w:hint="eastAsia" w:ascii="宋体" w:hAnsi="宋体" w:eastAsia="宋体" w:cs="宋体"/>
                <w:i w:val="0"/>
                <w:iCs w:val="0"/>
                <w:color w:val="000000"/>
                <w:sz w:val="22"/>
                <w:szCs w:val="22"/>
                <w:u w:val="none"/>
              </w:rPr>
            </w:pPr>
          </w:p>
        </w:tc>
      </w:tr>
    </w:tbl>
    <w:p w14:paraId="56320229">
      <w:pPr>
        <w:pStyle w:val="6"/>
        <w:bidi w:val="0"/>
        <w:rPr>
          <w:rFonts w:hint="eastAsia"/>
          <w:lang w:val="en-US" w:eastAsia="zh-CN"/>
        </w:rPr>
      </w:pPr>
    </w:p>
    <w:p w14:paraId="549F7D1E">
      <w:pPr>
        <w:pStyle w:val="3"/>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2B3FF6F8">
      <w:pPr>
        <w:pStyle w:val="7"/>
        <w:keepNext w:val="0"/>
        <w:keepLines w:val="0"/>
        <w:pageBreakBefore w:val="0"/>
        <w:widowControl/>
        <w:kinsoku/>
        <w:wordWrap/>
        <w:overflowPunct/>
        <w:topLinePunct w:val="0"/>
        <w:autoSpaceDE/>
        <w:autoSpaceDN/>
        <w:bidi w:val="0"/>
        <w:adjustRightInd/>
        <w:snapToGrid/>
        <w:spacing w:before="0" w:after="0" w:line="400" w:lineRule="exact"/>
        <w:ind w:firstLine="420" w:firstLineChars="200"/>
        <w:jc w:val="left"/>
        <w:textAlignment w:val="auto"/>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 xml:space="preserve"> （1）按下浮率报价（保留两位小数，如8.88%），同时填报投标报价（投标报价=最高投标限价*（1-投标下浮率），四舍五入保留两位小数）。当投标报价与投标下浮率计算结果不一致时，以投标下浮率为准，按上述公式修订投标报价。</w:t>
      </w:r>
    </w:p>
    <w:p w14:paraId="73B86575">
      <w:pPr>
        <w:pStyle w:val="7"/>
        <w:keepNext w:val="0"/>
        <w:keepLines w:val="0"/>
        <w:pageBreakBefore w:val="0"/>
        <w:widowControl/>
        <w:kinsoku/>
        <w:wordWrap/>
        <w:overflowPunct/>
        <w:topLinePunct w:val="0"/>
        <w:autoSpaceDE/>
        <w:autoSpaceDN/>
        <w:bidi w:val="0"/>
        <w:adjustRightInd/>
        <w:snapToGrid/>
        <w:spacing w:before="0" w:after="0" w:line="400" w:lineRule="exact"/>
        <w:ind w:firstLine="420" w:firstLineChars="200"/>
        <w:jc w:val="left"/>
        <w:textAlignment w:val="auto"/>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 xml:space="preserve">  （2）投标下浮率不低于0%为有效报价；当投标下浮率＞10%时应附成本分析报告，充分说明单价和费用的组成、降低成本的合理措施及在其他工程中应用过的经验等，经评审通过后方可视为有效报价。</w:t>
      </w:r>
    </w:p>
    <w:p w14:paraId="63ADE434">
      <w:pPr>
        <w:pStyle w:val="7"/>
        <w:keepNext w:val="0"/>
        <w:keepLines w:val="0"/>
        <w:pageBreakBefore w:val="0"/>
        <w:widowControl/>
        <w:kinsoku/>
        <w:wordWrap/>
        <w:overflowPunct/>
        <w:topLinePunct w:val="0"/>
        <w:autoSpaceDE/>
        <w:autoSpaceDN/>
        <w:bidi w:val="0"/>
        <w:adjustRightInd/>
        <w:snapToGrid/>
        <w:spacing w:before="0" w:after="0" w:line="400" w:lineRule="exact"/>
        <w:ind w:firstLine="420" w:firstLineChars="200"/>
        <w:jc w:val="left"/>
        <w:textAlignment w:val="auto"/>
        <w:rPr>
          <w:rFonts w:hint="eastAsia" w:ascii="宋体" w:hAnsi="宋体" w:eastAsia="宋体" w:cs="宋体"/>
          <w:b w:val="0"/>
          <w:bCs w:val="0"/>
          <w:color w:val="auto"/>
          <w:kern w:val="0"/>
          <w:sz w:val="21"/>
          <w:szCs w:val="21"/>
          <w:highlight w:val="none"/>
          <w:u w:val="singl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 xml:space="preserve">（3）价格分计算时，投标人评标价按（100-投标人填写的下浮数值）参与计算。如：下浮率为1.88％时，评标价按（100-1.88）参与计算。  </w:t>
      </w:r>
    </w:p>
    <w:p w14:paraId="6B020230">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77F9DFC8">
      <w:pPr>
        <w:pStyle w:val="5"/>
        <w:spacing w:line="360" w:lineRule="auto"/>
        <w:ind w:left="0" w:leftChars="0" w:firstLine="420" w:firstLineChars="200"/>
        <w:rPr>
          <w:rFonts w:hint="eastAsia" w:ascii="宋体" w:hAnsi="宋体" w:eastAsia="宋体" w:cs="宋体"/>
          <w:color w:val="auto"/>
          <w:szCs w:val="21"/>
          <w:highlight w:val="none"/>
          <w:u w:val="single"/>
        </w:rPr>
      </w:pPr>
      <w:r>
        <w:rPr>
          <w:rFonts w:hint="eastAsia" w:ascii="宋体" w:hAnsi="宋体" w:eastAsia="宋体" w:cs="宋体"/>
          <w:b w:val="0"/>
          <w:bCs w:val="0"/>
          <w:color w:val="auto"/>
          <w:kern w:val="2"/>
          <w:sz w:val="21"/>
          <w:szCs w:val="21"/>
          <w:highlight w:val="none"/>
          <w:u w:val="single"/>
          <w:lang w:val="en-US" w:eastAsia="zh-CN" w:bidi="ar-SA"/>
        </w:rPr>
        <w:t>本合同为暂定价合同，最终合同结算价为：（审定初步设计概算监理费+ 初设概算监理计费范围以外的监理工作费用）×（1-投标下浮率）+监理增加费±合同内约定且实际发生的相关奖罚费用 + 招标代理服务费</w:t>
      </w:r>
      <w:r>
        <w:rPr>
          <w:rFonts w:hint="eastAsia" w:ascii="宋体" w:hAnsi="宋体" w:eastAsia="宋体" w:cs="宋体"/>
          <w:color w:val="auto"/>
          <w:szCs w:val="21"/>
          <w:highlight w:val="none"/>
          <w:u w:val="single"/>
        </w:rPr>
        <w:t>。</w:t>
      </w:r>
    </w:p>
    <w:p w14:paraId="2D98E894">
      <w:pPr>
        <w:pStyle w:val="5"/>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其中：</w:t>
      </w:r>
    </w:p>
    <w:p w14:paraId="5C8D4127">
      <w:pPr>
        <w:pStyle w:val="5"/>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1）审定初步设计概算监理费：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14:paraId="7F04ADED">
      <w:pPr>
        <w:pStyle w:val="5"/>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因规模变化需要调整可研、初设、施工图的，结算价按调整后批复的初设概算对应参与阶段的监理费用×（1-投标下浮率）+监理增加费进行结算。</w:t>
      </w:r>
    </w:p>
    <w:p w14:paraId="3B7B4A35">
      <w:pPr>
        <w:pStyle w:val="5"/>
        <w:spacing w:line="360" w:lineRule="auto"/>
        <w:ind w:left="0" w:leftChars="0" w:firstLine="420" w:firstLineChars="200"/>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lang w:val="en-US" w:eastAsia="zh-CN"/>
        </w:rPr>
        <w:t>因监理增加费造成结算费用超过以审定的概算为基数的监理费的，按上述公式和审定的概算为基数的监理费两者较低值进行结算。</w:t>
      </w:r>
    </w:p>
    <w:p w14:paraId="7EEB2A90">
      <w:pPr>
        <w:pStyle w:val="5"/>
        <w:spacing w:line="360" w:lineRule="auto"/>
        <w:ind w:left="0" w:leftChars="0" w:firstLine="420" w:firstLineChars="200"/>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lang w:val="en-US" w:eastAsia="zh-CN"/>
        </w:rPr>
        <w:t>注：监理增加费按《公司基于本质安全管理的主网基建项目施工监理费用指导意见讨论会纪要》（输配电〔2025〕第 66 期）执行。</w:t>
      </w:r>
    </w:p>
    <w:p w14:paraId="233E0670">
      <w:pPr>
        <w:pStyle w:val="5"/>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初设概算监理计费范围以外的监理工作”包括但不限于：监理单位对路面修复（含市政路面、公路等）、交通疏解、跨（穿）越铁路/公路、管线迁移、绿化迁移、林木砍伐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14:paraId="1BD38965">
      <w:pPr>
        <w:pStyle w:val="5"/>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（3）招标代理服务费按实际支付给招标代理的费用为准，监理人可在预付款申请或进度款申请时同时申请支付。</w:t>
      </w:r>
    </w:p>
    <w:p w14:paraId="0A74024B">
      <w:pPr>
        <w:pStyle w:val="5"/>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（4）投标下浮率（%）＝（1-投标报价/最高投标限价）×100%</w:t>
      </w:r>
    </w:p>
    <w:p w14:paraId="505F77CE">
      <w:pPr>
        <w:pStyle w:val="7"/>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w:t>
      </w:r>
    </w:p>
    <w:p w14:paraId="7F2CE863">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4A296313">
      <w:pPr>
        <w:pStyle w:val="2"/>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2141B0F6">
      <w:pPr>
        <w:pStyle w:val="2"/>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48581233">
      <w:pPr>
        <w:pStyle w:val="7"/>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14:paraId="5CFF5756">
      <w:pPr>
        <w:rPr>
          <w:rFonts w:hint="eastAsia" w:ascii="宋体" w:hAnsi="宋体" w:eastAsia="宋体" w:cs="宋体"/>
          <w:color w:val="auto"/>
          <w:kern w:val="2"/>
          <w:sz w:val="24"/>
          <w:szCs w:val="24"/>
          <w:highlight w:val="none"/>
          <w:u w:val="single"/>
          <w:lang w:val="en-US" w:eastAsia="zh-CN" w:bidi="ar-SA"/>
        </w:rPr>
      </w:pPr>
    </w:p>
    <w:p w14:paraId="3D091AE6">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49172BEC">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06755E13">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w:t>
      </w:r>
      <w:bookmarkEnd w:id="1"/>
      <w:bookmarkStart w:id="2" w:name="_Toc508286566"/>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14:paraId="5C05A5EB">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14:paraId="1D81C07C">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0B7B43FF">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5D677045">
      <w:pPr>
        <w:pStyle w:val="6"/>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428101E9">
      <w:pPr>
        <w:pStyle w:val="6"/>
        <w:numPr>
          <w:ilvl w:val="0"/>
          <w:numId w:val="3"/>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1FFC3A5A">
      <w:pPr>
        <w:pStyle w:val="6"/>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54394C48">
      <w:pPr>
        <w:pStyle w:val="6"/>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668F5717">
      <w:pPr>
        <w:pStyle w:val="6"/>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47D8C802">
      <w:pPr>
        <w:pStyle w:val="6"/>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2B77E5DC">
      <w:pPr>
        <w:pStyle w:val="6"/>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3DF22245">
      <w:pPr>
        <w:pStyle w:val="6"/>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07F54A8D">
      <w:pPr>
        <w:pStyle w:val="6"/>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5912CFC1">
      <w:pPr>
        <w:pStyle w:val="6"/>
        <w:numPr>
          <w:ilvl w:val="0"/>
          <w:numId w:val="3"/>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1ACDF18E">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4"/>
      <w:bookmarkStart w:id="4" w:name="_Toc30760"/>
      <w:r>
        <w:rPr>
          <w:rFonts w:hint="eastAsia" w:asciiTheme="minorEastAsia" w:hAnsiTheme="minorEastAsia" w:eastAsiaTheme="minorEastAsia" w:cstheme="minorEastAsia"/>
          <w:i w:val="0"/>
          <w:iCs/>
          <w:color w:val="auto"/>
          <w:sz w:val="24"/>
          <w:szCs w:val="24"/>
          <w:highlight w:val="none"/>
          <w:lang w:eastAsia="zh-CN"/>
        </w:rPr>
        <w:t>四、</w:t>
      </w:r>
      <w:bookmarkEnd w:id="3"/>
      <w:bookmarkStart w:id="5"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4"/>
      <w:bookmarkEnd w:id="5"/>
    </w:p>
    <w:p w14:paraId="516736C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14:paraId="30A71159">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）工程前期有关文件（可研</w:t>
      </w:r>
      <w:r>
        <w:rPr>
          <w:rFonts w:hint="eastAsia" w:asciiTheme="minorEastAsia" w:hAnsiTheme="minorEastAsia" w:eastAsiaTheme="minorEastAsia" w:cstheme="minorEastAsia"/>
          <w:color w:val="auto"/>
          <w:sz w:val="24"/>
          <w:szCs w:val="24"/>
          <w:highlight w:val="none"/>
          <w:lang w:val="en-US" w:eastAsia="zh-CN"/>
        </w:rPr>
        <w:t>批复文件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w:t>
      </w:r>
    </w:p>
    <w:p w14:paraId="2DE69214">
      <w:pPr>
        <w:pStyle w:val="2"/>
        <w:rPr>
          <w:rFonts w:hint="eastAsia" w:asciiTheme="minorEastAsia" w:hAnsiTheme="minorEastAsia" w:eastAsiaTheme="minorEastAsia" w:cstheme="minorEastAsia"/>
          <w:color w:val="auto"/>
          <w:sz w:val="24"/>
          <w:szCs w:val="24"/>
          <w:highlight w:val="none"/>
          <w:lang w:eastAsia="zh-CN"/>
        </w:rPr>
      </w:pPr>
    </w:p>
    <w:p w14:paraId="3F1A473D">
      <w:pPr>
        <w:pStyle w:val="2"/>
        <w:rPr>
          <w:rFonts w:hint="eastAsia" w:asciiTheme="minorEastAsia" w:hAnsiTheme="minorEastAsia" w:eastAsiaTheme="minorEastAsia" w:cstheme="minorEastAsia"/>
          <w:color w:val="auto"/>
          <w:sz w:val="24"/>
          <w:szCs w:val="24"/>
          <w:highlight w:val="none"/>
          <w:lang w:eastAsia="zh-CN"/>
        </w:rPr>
      </w:pPr>
    </w:p>
    <w:p w14:paraId="6265C8A0">
      <w:pPr>
        <w:pStyle w:val="2"/>
        <w:rPr>
          <w:rFonts w:hint="eastAsia" w:asciiTheme="minorEastAsia" w:hAnsiTheme="minorEastAsia" w:eastAsiaTheme="minorEastAsia" w:cstheme="minorEastAsia"/>
          <w:color w:val="auto"/>
          <w:sz w:val="24"/>
          <w:szCs w:val="24"/>
          <w:highlight w:val="none"/>
          <w:lang w:eastAsia="zh-CN"/>
        </w:rPr>
      </w:pPr>
    </w:p>
    <w:p w14:paraId="40B89AAA">
      <w:pPr>
        <w:pStyle w:val="2"/>
        <w:rPr>
          <w:rFonts w:hint="eastAsia" w:asciiTheme="minorEastAsia" w:hAnsiTheme="minorEastAsia" w:eastAsiaTheme="minorEastAsia" w:cstheme="minorEastAsia"/>
          <w:color w:val="auto"/>
          <w:sz w:val="24"/>
          <w:szCs w:val="24"/>
          <w:highlight w:val="none"/>
          <w:lang w:eastAsia="zh-CN"/>
        </w:rPr>
      </w:pPr>
    </w:p>
    <w:p w14:paraId="2804C455">
      <w:pPr>
        <w:pStyle w:val="2"/>
        <w:rPr>
          <w:rFonts w:hint="eastAsia" w:asciiTheme="minorEastAsia" w:hAnsiTheme="minorEastAsia" w:eastAsiaTheme="minorEastAsia" w:cstheme="minorEastAsia"/>
          <w:color w:val="auto"/>
          <w:sz w:val="24"/>
          <w:szCs w:val="24"/>
          <w:highlight w:val="none"/>
          <w:lang w:eastAsia="zh-CN"/>
        </w:rPr>
      </w:pPr>
    </w:p>
    <w:p w14:paraId="02D89298">
      <w:pPr>
        <w:pStyle w:val="2"/>
        <w:rPr>
          <w:rFonts w:hint="eastAsia" w:asciiTheme="minorEastAsia" w:hAnsiTheme="minorEastAsia" w:eastAsiaTheme="minorEastAsia" w:cstheme="minorEastAsia"/>
          <w:color w:val="auto"/>
          <w:sz w:val="24"/>
          <w:szCs w:val="24"/>
          <w:highlight w:val="none"/>
          <w:lang w:eastAsia="zh-CN"/>
        </w:rPr>
      </w:pPr>
    </w:p>
    <w:p w14:paraId="738B77A6">
      <w:pPr>
        <w:rPr>
          <w:rFonts w:hint="eastAsia" w:ascii="宋体" w:hAnsi="宋体" w:eastAsia="宋体" w:cs="宋体"/>
          <w:color w:val="auto"/>
          <w:sz w:val="24"/>
          <w:szCs w:val="24"/>
          <w:highlight w:val="none"/>
          <w:u w:val="single"/>
          <w:lang w:val="en-US" w:eastAsia="zh-CN"/>
        </w:rPr>
      </w:pPr>
      <w:bookmarkStart w:id="6" w:name="_GoBack"/>
      <w:bookmarkEnd w:id="6"/>
    </w:p>
    <w:p w14:paraId="1ACA9980"/>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88656C"/>
    <w:rsid w:val="3D3633F4"/>
    <w:rsid w:val="79886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3">
    <w:name w:val="Body Text"/>
    <w:basedOn w:val="1"/>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5">
    <w:name w:val="Body Text Indent"/>
    <w:basedOn w:val="1"/>
    <w:qFormat/>
    <w:uiPriority w:val="0"/>
    <w:pPr>
      <w:spacing w:after="120"/>
      <w:ind w:left="420" w:leftChars="200"/>
    </w:pPr>
  </w:style>
  <w:style w:type="paragraph" w:styleId="6">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1"/>
      <w:szCs w:val="21"/>
      <w:u w:val="none"/>
    </w:rPr>
  </w:style>
  <w:style w:type="character" w:customStyle="1" w:styleId="12">
    <w:name w:val="font31"/>
    <w:basedOn w:val="10"/>
    <w:qFormat/>
    <w:uiPriority w:val="0"/>
    <w:rPr>
      <w:rFonts w:hint="eastAsia" w:ascii="宋体" w:hAnsi="宋体" w:eastAsia="宋体" w:cs="宋体"/>
      <w:b/>
      <w:bCs/>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2300</Words>
  <Characters>2429</Characters>
  <Lines>0</Lines>
  <Paragraphs>0</Paragraphs>
  <TotalTime>2</TotalTime>
  <ScaleCrop>false</ScaleCrop>
  <LinksUpToDate>false</LinksUpToDate>
  <CharactersWithSpaces>2716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2025-09-30T03:37:00Z</dcterms:created>
  <dc:creator>祝君</dc:creator>
  <cp:lastModifiedBy>马骏安</cp:lastModifiedBy>
  <dcterms:modified xsi:type="dcterms:W3CDTF">2025-10-28T07:32:13Z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2D729FE361ED4C0BBCDC32AD9A8FC997_11</vt:lpwstr>
  </property>
  <property fmtid="{D5CDD505-2E9C-101B-9397-08002B2CF9AE}" pid="4" name="KSOTemplateDocerSaveRecord">
    <vt:lpwstr>eyJoZGlkIjoiNGQxZGUyZmQ5MDU5MjhiNzUxNWY4N2Q0ZGU2Y2VhOTgiLCJ1c2VySWQiOiI3MDM5OTYzMzMifQ==</vt:lpwstr>
  </property>
</Properties>
</file>