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BA8EC">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广州海珠站配套220千伏线路工程监理（标段二）</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427069E9">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1637B2FB">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3"/>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3A72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1522497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2E2DAAE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464CF78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35B5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ABCC09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0711923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7611F9C2">
            <w:pPr>
              <w:pStyle w:val="9"/>
              <w:spacing w:line="480" w:lineRule="exact"/>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snapToGrid w:val="0"/>
                <w:sz w:val="24"/>
                <w:szCs w:val="24"/>
                <w:highlight w:val="none"/>
              </w:rPr>
              <w:t>广供电基〔2025〕26号</w:t>
            </w:r>
          </w:p>
        </w:tc>
      </w:tr>
      <w:tr w14:paraId="472C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E13EC6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690FD54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22F6DFD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穗发改核准〔2025〕10号</w:t>
            </w:r>
          </w:p>
        </w:tc>
      </w:tr>
      <w:tr w14:paraId="6F45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42EED7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2D7081A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577A7A3D">
            <w:pPr>
              <w:pStyle w:val="9"/>
              <w:spacing w:line="480" w:lineRule="exact"/>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snapToGrid w:val="0"/>
                <w:sz w:val="24"/>
                <w:szCs w:val="24"/>
                <w:highlight w:val="none"/>
              </w:rPr>
              <w:t>广电规〔</w:t>
            </w:r>
            <w:r>
              <w:rPr>
                <w:rFonts w:hint="eastAsia" w:asciiTheme="minorEastAsia" w:hAnsiTheme="minorEastAsia" w:eastAsiaTheme="minorEastAsia" w:cstheme="minorEastAsia"/>
                <w:snapToGrid w:val="0"/>
                <w:sz w:val="24"/>
                <w:szCs w:val="24"/>
                <w:highlight w:val="none"/>
                <w:lang w:val="en-US" w:eastAsia="zh-CN"/>
              </w:rPr>
              <w:t>2025</w:t>
            </w:r>
            <w:r>
              <w:rPr>
                <w:rFonts w:hint="eastAsia" w:asciiTheme="minorEastAsia" w:hAnsiTheme="minorEastAsia" w:eastAsiaTheme="minorEastAsia" w:cstheme="minorEastAsia"/>
                <w:snapToGrid w:val="0"/>
                <w:sz w:val="24"/>
                <w:szCs w:val="24"/>
                <w:highlight w:val="none"/>
              </w:rPr>
              <w:t>〕</w:t>
            </w:r>
            <w:r>
              <w:rPr>
                <w:rFonts w:hint="eastAsia" w:asciiTheme="minorEastAsia" w:hAnsiTheme="minorEastAsia" w:eastAsiaTheme="minorEastAsia" w:cstheme="minorEastAsia"/>
                <w:snapToGrid w:val="0"/>
                <w:sz w:val="24"/>
                <w:szCs w:val="24"/>
                <w:highlight w:val="none"/>
                <w:lang w:val="en-US" w:eastAsia="zh-CN"/>
              </w:rPr>
              <w:t>26</w:t>
            </w:r>
            <w:r>
              <w:rPr>
                <w:rFonts w:hint="eastAsia" w:asciiTheme="minorEastAsia" w:hAnsiTheme="minorEastAsia" w:eastAsiaTheme="minorEastAsia" w:cstheme="minorEastAsia"/>
                <w:snapToGrid w:val="0"/>
                <w:sz w:val="24"/>
                <w:szCs w:val="24"/>
                <w:highlight w:val="none"/>
              </w:rPr>
              <w:t>号</w:t>
            </w:r>
          </w:p>
        </w:tc>
      </w:tr>
      <w:tr w14:paraId="63D1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913C3A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7F2B432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2605A20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6E00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FD54B1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09B7C31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0044AB02">
            <w:pPr>
              <w:pStyle w:val="9"/>
              <w:spacing w:line="480" w:lineRule="exact"/>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snapToGrid w:val="0"/>
                <w:sz w:val="24"/>
                <w:szCs w:val="24"/>
                <w:highlight w:val="none"/>
              </w:rPr>
              <w:t>广州市</w:t>
            </w:r>
          </w:p>
        </w:tc>
      </w:tr>
      <w:tr w14:paraId="2ABAC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693D4DB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59ACE4A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6B09A72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中国能源建设集团广东省电力设计研究院有限公司</w:t>
            </w:r>
          </w:p>
        </w:tc>
      </w:tr>
      <w:tr w14:paraId="6632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14:paraId="3B83324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4F05A8B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1F9EB41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合同签订之日起至2028年12月30日，实际工期以开工报告、竣工报告为准。</w:t>
            </w:r>
          </w:p>
          <w:p w14:paraId="0AC8A14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p>
        </w:tc>
      </w:tr>
    </w:tbl>
    <w:p w14:paraId="1A684A17">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48EF0889">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3C4E599D">
      <w:pPr>
        <w:pStyle w:val="9"/>
        <w:keepNext w:val="0"/>
        <w:keepLines w:val="0"/>
        <w:suppressLineNumbers w:val="0"/>
        <w:spacing w:before="0" w:beforeAutospacing="0" w:after="0" w:afterAutospacing="0" w:line="100" w:lineRule="atLeast"/>
        <w:ind w:left="0" w:right="0"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※变电部分：</w:t>
      </w:r>
    </w:p>
    <w:p w14:paraId="4A0DEF59">
      <w:pPr>
        <w:pStyle w:val="9"/>
        <w:keepNext w:val="0"/>
        <w:keepLines w:val="0"/>
        <w:suppressLineNumbers w:val="0"/>
        <w:spacing w:before="0" w:beforeAutospacing="0" w:after="0" w:afterAutospacing="0" w:line="100" w:lineRule="atLeast"/>
        <w:ind w:left="0" w:right="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1、500kV广南站间隔改造工程：500kV广南变电站220kV采用双母线双分段接线，设专用母联断路器。将广南-厚德双回线路、广南-迎宾双回线路调整至广南220kV 1/2M，将广南-番禺双回线路调整至广南220kV 5/6M。</w:t>
      </w:r>
    </w:p>
    <w:p w14:paraId="2C5BAE82">
      <w:pPr>
        <w:pStyle w:val="9"/>
        <w:keepNext w:val="0"/>
        <w:keepLines w:val="0"/>
        <w:suppressLineNumbers w:val="0"/>
        <w:spacing w:before="0" w:beforeAutospacing="0" w:after="0" w:afterAutospacing="0" w:line="100" w:lineRule="atLeast"/>
        <w:ind w:left="0" w:right="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220kV棠下站220kV间隔GIS设备改造工程：220千伏棠下站本期将原220kV木棉甲间隔改为备用间隔；将原已退运的220kV棠热甲乙间隔改为海珠甲乙间隔。木棉～棠下柔直线路在棠下站内由架空转电缆，电缆接至棠下柔直站。</w:t>
      </w:r>
    </w:p>
    <w:p w14:paraId="744A4ED1">
      <w:pPr>
        <w:pStyle w:val="9"/>
        <w:keepNext w:val="0"/>
        <w:keepLines w:val="0"/>
        <w:suppressLineNumbers w:val="0"/>
        <w:spacing w:before="0" w:beforeAutospacing="0" w:after="0" w:afterAutospacing="0" w:line="100" w:lineRule="atLeast"/>
        <w:ind w:left="0" w:right="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3、500kV木棉变电站保护改造工程：木棉变电站保护装置升级改造。</w:t>
      </w:r>
    </w:p>
    <w:p w14:paraId="3E584331">
      <w:pPr>
        <w:pStyle w:val="9"/>
        <w:keepNext w:val="0"/>
        <w:keepLines w:val="0"/>
        <w:suppressLineNumbers w:val="0"/>
        <w:spacing w:before="0" w:beforeAutospacing="0" w:after="0" w:afterAutospacing="0" w:line="100" w:lineRule="atLeast"/>
        <w:ind w:left="0" w:right="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4、220kV磨碟洲变电站保护改造工程：磨碟洲变电站保护装置升级改造。</w:t>
      </w:r>
    </w:p>
    <w:p w14:paraId="2B72216A">
      <w:pPr>
        <w:pStyle w:val="9"/>
        <w:keepNext w:val="0"/>
        <w:keepLines w:val="0"/>
        <w:suppressLineNumbers w:val="0"/>
        <w:spacing w:before="0" w:beforeAutospacing="0" w:after="0" w:afterAutospacing="0" w:line="100" w:lineRule="atLeast"/>
        <w:ind w:left="0" w:right="0"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※架空线路部分:</w:t>
      </w:r>
    </w:p>
    <w:p w14:paraId="03647E60">
      <w:pPr>
        <w:pStyle w:val="9"/>
        <w:keepNext w:val="0"/>
        <w:keepLines w:val="0"/>
        <w:suppressLineNumbers w:val="0"/>
        <w:spacing w:before="0" w:beforeAutospacing="0" w:after="0" w:afterAutospacing="0" w:line="100" w:lineRule="atLeast"/>
        <w:ind w:left="0" w:right="0" w:firstLine="480"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500kV广南站220kV广厚甲乙间隔调至220kV广芳甲乙间隔架空线路工程:新建双回路导地线路径长约2×0.35km,新建四回路导地线路径长约4×0.25km。新建线路导线采用2×JL/LB20A-630/45，新建地线采用2根72芯OPGW光缆。</w:t>
      </w:r>
    </w:p>
    <w:p w14:paraId="7B30A233">
      <w:pPr>
        <w:pStyle w:val="9"/>
        <w:keepNext w:val="0"/>
        <w:keepLines w:val="0"/>
        <w:suppressLineNumbers w:val="0"/>
        <w:spacing w:before="0" w:beforeAutospacing="0" w:after="0" w:afterAutospacing="0" w:line="100" w:lineRule="atLeast"/>
        <w:ind w:left="0" w:right="0" w:firstLine="482"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※电缆线路部分:</w:t>
      </w:r>
    </w:p>
    <w:p w14:paraId="723E666B">
      <w:pPr>
        <w:pStyle w:val="9"/>
        <w:keepNext w:val="0"/>
        <w:keepLines w:val="0"/>
        <w:suppressLineNumbers w:val="0"/>
        <w:spacing w:before="0" w:beforeAutospacing="0" w:after="0" w:afterAutospacing="0" w:line="100" w:lineRule="atLeast"/>
        <w:ind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1、220kV海珠至赤沙双回线路工程：新建双回电缆线路长约2×1.65km,每相电缆型号：ZRA-YJLW02-Z 127/220 1×2500。</w:t>
      </w:r>
    </w:p>
    <w:p w14:paraId="5FA047D9">
      <w:pPr>
        <w:pStyle w:val="9"/>
        <w:keepNext w:val="0"/>
        <w:keepLines w:val="0"/>
        <w:suppressLineNumbers w:val="0"/>
        <w:spacing w:before="0" w:beforeAutospacing="0" w:after="0" w:afterAutospacing="0" w:line="100" w:lineRule="atLeast"/>
        <w:ind w:left="0" w:right="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2、220kV海珠至柳园双回线路工程：电缆线路全长2×10.98km，其中，新建双回电缆线路长约2×4.98km（含搬迁利旧原磨柳线旧电缆敷设长约0.525km），利用原磨柳线长约 6km。利用原220kV磨柳甲乙线电缆长约2×6.4km。每相电缆型号：ZRA-YJLW02-Z 127/220 1×2500。</w:t>
      </w:r>
    </w:p>
    <w:p w14:paraId="6101DD53">
      <w:pPr>
        <w:pStyle w:val="9"/>
        <w:keepNext w:val="0"/>
        <w:keepLines w:val="0"/>
        <w:suppressLineNumbers w:val="0"/>
        <w:spacing w:before="0" w:beforeAutospacing="0" w:after="0" w:afterAutospacing="0" w:line="100" w:lineRule="atLeast"/>
        <w:ind w:left="0" w:right="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3、220kV海珠至磨碟洲双回线路工程：路全长4.67km，新建电缆线路长约1.47km（其中新采购电缆路径 0.8km，搬迁原磨赤线、儒磨二线旧电缆敷设路径长约 0.67km），利用原磨赤线、儒磨二线长约3.2km。每相电缆型号：ZRA-YJLW02-Z 127/220 1×2500。</w:t>
      </w:r>
    </w:p>
    <w:p w14:paraId="1F9396D8">
      <w:pPr>
        <w:pStyle w:val="9"/>
        <w:keepNext w:val="0"/>
        <w:keepLines w:val="0"/>
        <w:suppressLineNumbers w:val="0"/>
        <w:spacing w:before="0" w:beforeAutospacing="0" w:after="0" w:afterAutospacing="0" w:line="100" w:lineRule="atLeast"/>
        <w:ind w:left="0" w:right="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4、220kV海珠至棠下双回线路工程：新建电缆线路全长约2×7.475km，每相电缆型号：ZRA-YJLW02-Z 127/220 1×2500。</w:t>
      </w:r>
    </w:p>
    <w:p w14:paraId="4DF4D6D0">
      <w:pPr>
        <w:pStyle w:val="9"/>
        <w:keepNext w:val="0"/>
        <w:keepLines w:val="0"/>
        <w:suppressLineNumbers w:val="0"/>
        <w:spacing w:before="0" w:beforeAutospacing="0" w:after="0" w:afterAutospacing="0" w:line="100" w:lineRule="atLeast"/>
        <w:ind w:left="0" w:right="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5、220kV木棠甲线、220kV柔直至棠下站外跳通工程电缆线路工程：新建单回电缆路径长约0.3km，每相电缆型号：ZRA-YJLW02-Z 127/220 1×2500。</w:t>
      </w:r>
    </w:p>
    <w:p w14:paraId="011089F6">
      <w:pPr>
        <w:pStyle w:val="9"/>
        <w:keepNext w:val="0"/>
        <w:keepLines w:val="0"/>
        <w:suppressLineNumbers w:val="0"/>
        <w:spacing w:before="0" w:beforeAutospacing="0" w:after="0" w:afterAutospacing="0" w:line="100" w:lineRule="atLeast"/>
        <w:ind w:left="0" w:right="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6、220kV儒磨线解口入赤沙线路工程：新建单回电缆线路长约0.57km；磨碟洲侧解口线路：新建单回电缆线路长约0.99km，其中0.48km为利用旧电缆敷设。每相电缆型号：ZRA-YJLW02-Z 127/220 1×2500。</w:t>
      </w:r>
    </w:p>
    <w:p w14:paraId="224DFED1">
      <w:pPr>
        <w:pStyle w:val="9"/>
        <w:keepNext w:val="0"/>
        <w:keepLines w:val="0"/>
        <w:suppressLineNumbers w:val="0"/>
        <w:spacing w:before="0" w:beforeAutospacing="0" w:after="0" w:afterAutospacing="0" w:line="100" w:lineRule="atLeast"/>
        <w:ind w:left="0" w:right="0"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7、500kV广南站220kV广迎甲乙间隔与220kV番禺甲乙间隔互换电缆线路工程：新建四回220kV电缆线路约4×0.13km，每相电缆采用双拼电缆，每相电缆型号：2×ZRA-YJLW02-Z 127/220 1×2500。</w:t>
      </w:r>
    </w:p>
    <w:p w14:paraId="5A3563EA">
      <w:pPr>
        <w:pStyle w:val="9"/>
        <w:keepNext w:val="0"/>
        <w:keepLines w:val="0"/>
        <w:suppressLineNumbers w:val="0"/>
        <w:spacing w:before="0" w:beforeAutospacing="0" w:after="0" w:afterAutospacing="0" w:line="100" w:lineRule="atLeast"/>
        <w:ind w:left="0" w:right="0" w:firstLine="480" w:firstLineChars="20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8、电缆隧道工程（风水电部分）：500kV广州海珠站配套220千伏线路工程新建电力隧道配套风水电部分，包括配电工程、给排水工程、通风工程、通信工程、视频及监控系统工程、接地工程。</w:t>
      </w:r>
    </w:p>
    <w:p w14:paraId="1EF51336">
      <w:pPr>
        <w:pStyle w:val="9"/>
        <w:keepNext w:val="0"/>
        <w:keepLines w:val="0"/>
        <w:suppressLineNumbers w:val="0"/>
        <w:spacing w:before="0" w:beforeAutospacing="0" w:after="0" w:afterAutospacing="0" w:line="100" w:lineRule="atLeast"/>
        <w:ind w:left="0" w:right="0"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※通信部分:</w:t>
      </w:r>
    </w:p>
    <w:p w14:paraId="735E8CD6">
      <w:pPr>
        <w:autoSpaceDE w:val="0"/>
        <w:autoSpaceDN w:val="0"/>
        <w:adjustRightInd w:val="0"/>
        <w:spacing w:line="24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1、配套通信部分：配套通信设备及光缆，对侧站配备光板等。</w:t>
      </w:r>
    </w:p>
    <w:p w14:paraId="5447A844">
      <w:pPr>
        <w:autoSpaceDE w:val="0"/>
        <w:autoSpaceDN w:val="0"/>
        <w:adjustRightInd w:val="0"/>
        <w:spacing w:line="240" w:lineRule="auto"/>
        <w:ind w:firstLine="36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2、220kV海珠至赤沙双回线路管道光缆：新建2条72芯管道光缆，光缆长度为2×2.7km。</w:t>
      </w:r>
    </w:p>
    <w:p w14:paraId="43185E90">
      <w:pPr>
        <w:autoSpaceDE w:val="0"/>
        <w:autoSpaceDN w:val="0"/>
        <w:adjustRightInd w:val="0"/>
        <w:spacing w:line="240" w:lineRule="auto"/>
        <w:ind w:firstLine="36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3、220kV海珠至柳园双回线路管道光缆：新建2条72芯管道光缆，长度为2×12.6km（含两侧站内光缆）。</w:t>
      </w:r>
    </w:p>
    <w:p w14:paraId="2D943899">
      <w:pPr>
        <w:autoSpaceDE w:val="0"/>
        <w:autoSpaceDN w:val="0"/>
        <w:adjustRightInd w:val="0"/>
        <w:spacing w:line="240" w:lineRule="auto"/>
        <w:ind w:firstLine="36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4、220kV海珠至磨碟洲双回线路管道光缆：新建2条72芯管道光缆，光缆长度为2×5.84km（含两侧站内光缆）。</w:t>
      </w:r>
    </w:p>
    <w:p w14:paraId="476D3225">
      <w:pPr>
        <w:autoSpaceDE w:val="0"/>
        <w:autoSpaceDN w:val="0"/>
        <w:adjustRightInd w:val="0"/>
        <w:spacing w:line="240" w:lineRule="auto"/>
        <w:ind w:firstLine="36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5、220kV海珠至棠下双回线路管道光缆：新建2条72芯管道光缆，光缆长度为2×8.77km（含两侧站内光缆）。</w:t>
      </w:r>
    </w:p>
    <w:p w14:paraId="0E5945E5">
      <w:pPr>
        <w:autoSpaceDE w:val="0"/>
        <w:autoSpaceDN w:val="0"/>
        <w:adjustRightInd w:val="0"/>
        <w:spacing w:line="240" w:lineRule="auto"/>
        <w:ind w:firstLine="36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6、500kV广南站220kV广厚甲乙间隔调至220kV广芳甲乙间隔架空线路工程配套光缆：随线路调整工程，恢复广南站侧受影响相关6条光缆。</w:t>
      </w:r>
    </w:p>
    <w:p w14:paraId="00481695">
      <w:pPr>
        <w:pStyle w:val="9"/>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具体建设规模以施工图纸为准。</w:t>
      </w:r>
    </w:p>
    <w:p w14:paraId="05FA56E2">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43AD3ABA">
      <w:pPr>
        <w:keepNext w:val="0"/>
        <w:keepLines w:val="0"/>
        <w:pageBreakBefore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勘察设计、施工准备（含三通一平）、施工、竣工结算、缺陷责任期、电子化移交的全过程监理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14:paraId="0C8D0941">
      <w:pPr>
        <w:rPr>
          <w:rFonts w:hint="eastAsia"/>
          <w:highlight w:val="none"/>
          <w:lang w:val="en-US" w:eastAsia="zh-CN"/>
        </w:rPr>
      </w:pPr>
    </w:p>
    <w:p w14:paraId="0421C8E0">
      <w:pPr>
        <w:pStyle w:val="5"/>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p w14:paraId="2FBF3644">
      <w:pPr>
        <w:rPr>
          <w:rFonts w:hint="eastAsia" w:ascii="宋体" w:hAnsi="宋体" w:eastAsia="宋体" w:cs="宋体"/>
          <w:color w:val="auto"/>
          <w:kern w:val="2"/>
          <w:sz w:val="24"/>
          <w:szCs w:val="24"/>
          <w:highlight w:val="none"/>
          <w:u w:val="none"/>
          <w:lang w:val="en-US" w:eastAsia="zh-CN" w:bidi="ar-SA"/>
        </w:rPr>
      </w:pPr>
    </w:p>
    <w:tbl>
      <w:tblPr>
        <w:tblStyle w:val="12"/>
        <w:tblW w:w="10153"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4224"/>
        <w:gridCol w:w="1752"/>
        <w:gridCol w:w="960"/>
        <w:gridCol w:w="960"/>
        <w:gridCol w:w="1297"/>
      </w:tblGrid>
      <w:tr w14:paraId="74FBC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2CE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CD8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工程或费用名称</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3D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最高投标限价</w:t>
            </w:r>
            <w:r>
              <w:rPr>
                <w:rStyle w:val="18"/>
                <w:lang w:val="en-US" w:eastAsia="zh-CN" w:bidi="ar"/>
              </w:rPr>
              <w:t>(元)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F7D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投标下浮率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0C44C2A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投标报价</w:t>
            </w:r>
            <w:r>
              <w:rPr>
                <w:rStyle w:val="18"/>
                <w:lang w:val="en-US" w:eastAsia="zh-CN" w:bidi="ar"/>
              </w:rPr>
              <w:t>(元)</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165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14:paraId="615DE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286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ABD7C">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变电工程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75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179025.63</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5F566">
            <w:pPr>
              <w:keepNext w:val="0"/>
              <w:keepLines w:val="0"/>
              <w:widowControl/>
              <w:suppressLineNumbers w:val="0"/>
              <w:jc w:val="center"/>
              <w:textAlignment w:val="center"/>
              <w:rPr>
                <w:rFonts w:hint="eastAsia" w:ascii="宋体" w:hAnsi="宋体" w:eastAsia="宋体" w:cs="宋体"/>
                <w:i w:val="0"/>
                <w:iCs w:val="0"/>
                <w:color w:val="000000"/>
                <w:sz w:val="21"/>
                <w:szCs w:val="21"/>
                <w:u w:val="single"/>
              </w:rPr>
            </w:pPr>
            <w:r>
              <w:rPr>
                <w:rFonts w:hint="eastAsia" w:ascii="宋体" w:hAnsi="宋体" w:eastAsia="宋体" w:cs="宋体"/>
                <w:i w:val="0"/>
                <w:iCs w:val="0"/>
                <w:color w:val="000000"/>
                <w:kern w:val="0"/>
                <w:sz w:val="21"/>
                <w:szCs w:val="21"/>
                <w:u w:val="single"/>
                <w:lang w:val="en-US" w:eastAsia="zh-CN" w:bidi="ar"/>
              </w:rPr>
              <w:t xml:space="preserve">    </w:t>
            </w:r>
            <w:r>
              <w:rPr>
                <w:rStyle w:val="18"/>
                <w:u w:val="singl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E2881">
            <w:pPr>
              <w:jc w:val="center"/>
              <w:rPr>
                <w:rFonts w:hint="eastAsia" w:ascii="宋体" w:hAnsi="宋体" w:eastAsia="宋体" w:cs="宋体"/>
                <w:b/>
                <w:bCs/>
                <w:i w:val="0"/>
                <w:iCs w:val="0"/>
                <w:color w:val="000000"/>
                <w:sz w:val="21"/>
                <w:szCs w:val="21"/>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9A1A">
            <w:pPr>
              <w:jc w:val="left"/>
              <w:rPr>
                <w:rFonts w:hint="eastAsia" w:ascii="宋体" w:hAnsi="宋体" w:eastAsia="宋体" w:cs="宋体"/>
                <w:i w:val="0"/>
                <w:iCs w:val="0"/>
                <w:color w:val="000000"/>
                <w:sz w:val="21"/>
                <w:szCs w:val="21"/>
                <w:u w:val="none"/>
              </w:rPr>
            </w:pPr>
          </w:p>
        </w:tc>
      </w:tr>
      <w:tr w14:paraId="1B659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F18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0FCC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500kV广南站间隔改造工程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B54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93146.91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DB535">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180B1">
            <w:pPr>
              <w:jc w:val="center"/>
              <w:rPr>
                <w:rFonts w:hint="eastAsia" w:ascii="宋体" w:hAnsi="宋体" w:eastAsia="宋体" w:cs="宋体"/>
                <w:i w:val="0"/>
                <w:iCs w:val="0"/>
                <w:color w:val="000000"/>
                <w:sz w:val="21"/>
                <w:szCs w:val="21"/>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F7D25">
            <w:pPr>
              <w:jc w:val="left"/>
              <w:rPr>
                <w:rFonts w:hint="eastAsia" w:ascii="宋体" w:hAnsi="宋体" w:eastAsia="宋体" w:cs="宋体"/>
                <w:i w:val="0"/>
                <w:iCs w:val="0"/>
                <w:color w:val="000000"/>
                <w:sz w:val="21"/>
                <w:szCs w:val="21"/>
                <w:u w:val="none"/>
              </w:rPr>
            </w:pPr>
          </w:p>
        </w:tc>
      </w:tr>
      <w:tr w14:paraId="6297D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AC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1C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220kV棠下站220kV间隔GIS设备改造工程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261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43829.42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05844">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5A8D5">
            <w:pPr>
              <w:jc w:val="center"/>
              <w:rPr>
                <w:rFonts w:hint="eastAsia" w:ascii="宋体" w:hAnsi="宋体" w:eastAsia="宋体" w:cs="宋体"/>
                <w:i w:val="0"/>
                <w:iCs w:val="0"/>
                <w:color w:val="000000"/>
                <w:sz w:val="21"/>
                <w:szCs w:val="21"/>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514A2">
            <w:pPr>
              <w:jc w:val="left"/>
              <w:rPr>
                <w:rFonts w:hint="eastAsia" w:ascii="宋体" w:hAnsi="宋体" w:eastAsia="宋体" w:cs="宋体"/>
                <w:i w:val="0"/>
                <w:iCs w:val="0"/>
                <w:color w:val="000000"/>
                <w:sz w:val="21"/>
                <w:szCs w:val="21"/>
                <w:u w:val="none"/>
              </w:rPr>
            </w:pPr>
          </w:p>
        </w:tc>
      </w:tr>
      <w:tr w14:paraId="18957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B17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A7A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500kV木棉变电站保护改造工程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D53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15406.11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F5ABE">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15C87">
            <w:pPr>
              <w:jc w:val="center"/>
              <w:rPr>
                <w:rFonts w:hint="eastAsia" w:ascii="宋体" w:hAnsi="宋体" w:eastAsia="宋体" w:cs="宋体"/>
                <w:i w:val="0"/>
                <w:iCs w:val="0"/>
                <w:color w:val="000000"/>
                <w:sz w:val="21"/>
                <w:szCs w:val="21"/>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F81F2">
            <w:pPr>
              <w:jc w:val="left"/>
              <w:rPr>
                <w:rFonts w:hint="eastAsia" w:ascii="宋体" w:hAnsi="宋体" w:eastAsia="宋体" w:cs="宋体"/>
                <w:i w:val="0"/>
                <w:iCs w:val="0"/>
                <w:color w:val="000000"/>
                <w:sz w:val="21"/>
                <w:szCs w:val="21"/>
                <w:u w:val="none"/>
              </w:rPr>
            </w:pPr>
          </w:p>
        </w:tc>
      </w:tr>
      <w:tr w14:paraId="755CA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FFE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E0D8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220kV磨碟洲变电站保护改造工程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F4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26643.19</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2AB7E">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DDABE">
            <w:pPr>
              <w:jc w:val="center"/>
              <w:rPr>
                <w:rFonts w:hint="eastAsia" w:ascii="宋体" w:hAnsi="宋体" w:eastAsia="宋体" w:cs="宋体"/>
                <w:i w:val="0"/>
                <w:iCs w:val="0"/>
                <w:color w:val="000000"/>
                <w:sz w:val="21"/>
                <w:szCs w:val="21"/>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C0BA4">
            <w:pPr>
              <w:jc w:val="left"/>
              <w:rPr>
                <w:rFonts w:hint="eastAsia" w:ascii="宋体" w:hAnsi="宋体" w:eastAsia="宋体" w:cs="宋体"/>
                <w:i w:val="0"/>
                <w:iCs w:val="0"/>
                <w:color w:val="000000"/>
                <w:sz w:val="21"/>
                <w:szCs w:val="21"/>
                <w:u w:val="none"/>
              </w:rPr>
            </w:pPr>
          </w:p>
        </w:tc>
      </w:tr>
      <w:tr w14:paraId="75063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03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840D8">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线路工程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89EB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762275.01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1E950">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C1F4F">
            <w:pPr>
              <w:jc w:val="center"/>
              <w:rPr>
                <w:rFonts w:hint="eastAsia" w:ascii="宋体" w:hAnsi="宋体" w:eastAsia="宋体" w:cs="宋体"/>
                <w:b/>
                <w:bCs/>
                <w:i w:val="0"/>
                <w:iCs w:val="0"/>
                <w:color w:val="000000"/>
                <w:sz w:val="21"/>
                <w:szCs w:val="21"/>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43F2E">
            <w:pPr>
              <w:jc w:val="left"/>
              <w:rPr>
                <w:rFonts w:hint="eastAsia" w:ascii="宋体" w:hAnsi="宋体" w:eastAsia="宋体" w:cs="宋体"/>
                <w:i w:val="0"/>
                <w:iCs w:val="0"/>
                <w:color w:val="000000"/>
                <w:sz w:val="21"/>
                <w:szCs w:val="21"/>
                <w:u w:val="none"/>
              </w:rPr>
            </w:pPr>
          </w:p>
        </w:tc>
      </w:tr>
      <w:tr w14:paraId="28054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1C1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13E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220kV海珠至赤沙双回线路工程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0BF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52242.2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9A07A">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D90E1">
            <w:pPr>
              <w:jc w:val="center"/>
              <w:rPr>
                <w:rFonts w:hint="eastAsia" w:ascii="宋体" w:hAnsi="宋体" w:eastAsia="宋体" w:cs="宋体"/>
                <w:i w:val="0"/>
                <w:iCs w:val="0"/>
                <w:color w:val="000000"/>
                <w:sz w:val="21"/>
                <w:szCs w:val="21"/>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1092C">
            <w:pPr>
              <w:jc w:val="left"/>
              <w:rPr>
                <w:rFonts w:hint="eastAsia" w:ascii="宋体" w:hAnsi="宋体" w:eastAsia="宋体" w:cs="宋体"/>
                <w:i w:val="0"/>
                <w:iCs w:val="0"/>
                <w:color w:val="000000"/>
                <w:sz w:val="21"/>
                <w:szCs w:val="21"/>
                <w:u w:val="none"/>
              </w:rPr>
            </w:pPr>
          </w:p>
        </w:tc>
      </w:tr>
      <w:tr w14:paraId="6F18F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A35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B0A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220kV海珠至柳园双回线路工程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F9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114988.58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6E91">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4EA8D">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E4686">
            <w:pPr>
              <w:rPr>
                <w:rFonts w:hint="eastAsia" w:ascii="宋体" w:hAnsi="宋体" w:eastAsia="宋体" w:cs="宋体"/>
                <w:i w:val="0"/>
                <w:iCs w:val="0"/>
                <w:color w:val="000000"/>
                <w:sz w:val="22"/>
                <w:szCs w:val="22"/>
                <w:u w:val="none"/>
              </w:rPr>
            </w:pPr>
          </w:p>
        </w:tc>
      </w:tr>
      <w:tr w14:paraId="48F74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40A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5E6C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220kV海珠至磨碟洲双回线路工程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50E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65736.15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EA326">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FEC21">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BA99C">
            <w:pPr>
              <w:rPr>
                <w:rFonts w:hint="eastAsia" w:ascii="宋体" w:hAnsi="宋体" w:eastAsia="宋体" w:cs="宋体"/>
                <w:i w:val="0"/>
                <w:iCs w:val="0"/>
                <w:color w:val="000000"/>
                <w:sz w:val="22"/>
                <w:szCs w:val="22"/>
                <w:u w:val="none"/>
              </w:rPr>
            </w:pPr>
          </w:p>
        </w:tc>
      </w:tr>
      <w:tr w14:paraId="36332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D8F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DF9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220kV海珠至棠下双回线路工程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844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192387.3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CE34F">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500A6">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8C2EA">
            <w:pPr>
              <w:rPr>
                <w:rFonts w:hint="eastAsia" w:ascii="宋体" w:hAnsi="宋体" w:eastAsia="宋体" w:cs="宋体"/>
                <w:i w:val="0"/>
                <w:iCs w:val="0"/>
                <w:color w:val="000000"/>
                <w:sz w:val="22"/>
                <w:szCs w:val="22"/>
                <w:u w:val="none"/>
              </w:rPr>
            </w:pPr>
          </w:p>
        </w:tc>
      </w:tr>
      <w:tr w14:paraId="5EC23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24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29E4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220kV木棠甲线、220kV柔直至棠下站外跳通工程电缆线路工程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B02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17437.02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1B21D">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4A379">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DDF67">
            <w:pPr>
              <w:rPr>
                <w:rFonts w:hint="eastAsia" w:ascii="宋体" w:hAnsi="宋体" w:eastAsia="宋体" w:cs="宋体"/>
                <w:i w:val="0"/>
                <w:iCs w:val="0"/>
                <w:color w:val="000000"/>
                <w:sz w:val="22"/>
                <w:szCs w:val="22"/>
                <w:u w:val="none"/>
              </w:rPr>
            </w:pPr>
          </w:p>
        </w:tc>
      </w:tr>
      <w:tr w14:paraId="79222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34E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EB7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220kV儒磨线解口入赤沙线路工程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A4A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38437.65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D6C65">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EEBA">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D9720">
            <w:pPr>
              <w:rPr>
                <w:rFonts w:hint="eastAsia" w:ascii="宋体" w:hAnsi="宋体" w:eastAsia="宋体" w:cs="宋体"/>
                <w:i w:val="0"/>
                <w:iCs w:val="0"/>
                <w:color w:val="000000"/>
                <w:sz w:val="22"/>
                <w:szCs w:val="22"/>
                <w:u w:val="none"/>
              </w:rPr>
            </w:pPr>
          </w:p>
        </w:tc>
      </w:tr>
      <w:tr w14:paraId="6E283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E5F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8E3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500kV广南站220kV广厚甲乙间隔调至220kV广芳甲乙间隔架空线路工程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5FE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103778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2B441">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AD668">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ED92D">
            <w:pPr>
              <w:rPr>
                <w:rFonts w:hint="eastAsia" w:ascii="宋体" w:hAnsi="宋体" w:eastAsia="宋体" w:cs="宋体"/>
                <w:i w:val="0"/>
                <w:iCs w:val="0"/>
                <w:color w:val="000000"/>
                <w:sz w:val="22"/>
                <w:szCs w:val="22"/>
                <w:u w:val="none"/>
              </w:rPr>
            </w:pPr>
          </w:p>
        </w:tc>
      </w:tr>
      <w:tr w14:paraId="4EAEE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621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A9A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500kV广南站220kV广迎甲乙间隔与220kV番禺甲乙间隔互换电缆线路工程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7B3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177268.11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B5CF4">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31C6F">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3E373">
            <w:pPr>
              <w:rPr>
                <w:rFonts w:hint="eastAsia" w:ascii="宋体" w:hAnsi="宋体" w:eastAsia="宋体" w:cs="宋体"/>
                <w:i w:val="0"/>
                <w:iCs w:val="0"/>
                <w:color w:val="000000"/>
                <w:sz w:val="22"/>
                <w:szCs w:val="22"/>
                <w:u w:val="none"/>
              </w:rPr>
            </w:pPr>
          </w:p>
        </w:tc>
      </w:tr>
      <w:tr w14:paraId="3335B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4685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46305">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电缆隧道工程（风水电部分）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8EA8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428386.5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8E5ED">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5D536">
            <w:pPr>
              <w:jc w:val="center"/>
              <w:rPr>
                <w:rFonts w:hint="eastAsia" w:ascii="宋体" w:hAnsi="宋体" w:eastAsia="宋体" w:cs="宋体"/>
                <w:b/>
                <w:bCs/>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6F4F0">
            <w:pPr>
              <w:rPr>
                <w:rFonts w:hint="eastAsia" w:ascii="宋体" w:hAnsi="宋体" w:eastAsia="宋体" w:cs="宋体"/>
                <w:i w:val="0"/>
                <w:iCs w:val="0"/>
                <w:color w:val="000000"/>
                <w:sz w:val="22"/>
                <w:szCs w:val="22"/>
                <w:u w:val="none"/>
              </w:rPr>
            </w:pPr>
          </w:p>
        </w:tc>
      </w:tr>
      <w:tr w14:paraId="68CB9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12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3942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其中：风水电部分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35F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428386.5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22E4C">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82B2D">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DF9DF">
            <w:pPr>
              <w:rPr>
                <w:rFonts w:hint="eastAsia" w:ascii="宋体" w:hAnsi="宋体" w:eastAsia="宋体" w:cs="宋体"/>
                <w:i w:val="0"/>
                <w:iCs w:val="0"/>
                <w:color w:val="000000"/>
                <w:sz w:val="22"/>
                <w:szCs w:val="22"/>
                <w:u w:val="none"/>
              </w:rPr>
            </w:pPr>
          </w:p>
        </w:tc>
      </w:tr>
      <w:tr w14:paraId="77218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F9F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A1ECD">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通信工程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1C6C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126815.37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24A06">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DFDB4">
            <w:pPr>
              <w:jc w:val="center"/>
              <w:rPr>
                <w:rFonts w:hint="eastAsia" w:ascii="宋体" w:hAnsi="宋体" w:eastAsia="宋体" w:cs="宋体"/>
                <w:b/>
                <w:bCs/>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F9FF5">
            <w:pPr>
              <w:rPr>
                <w:rFonts w:hint="eastAsia" w:ascii="宋体" w:hAnsi="宋体" w:eastAsia="宋体" w:cs="宋体"/>
                <w:i w:val="0"/>
                <w:iCs w:val="0"/>
                <w:color w:val="000000"/>
                <w:sz w:val="22"/>
                <w:szCs w:val="22"/>
                <w:u w:val="none"/>
              </w:rPr>
            </w:pPr>
          </w:p>
        </w:tc>
      </w:tr>
      <w:tr w14:paraId="7D519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E5D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AE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配套通信设备工程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3FC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51501.16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B8270">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18FBB">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A49B9">
            <w:pPr>
              <w:rPr>
                <w:rFonts w:hint="eastAsia" w:ascii="宋体" w:hAnsi="宋体" w:eastAsia="宋体" w:cs="宋体"/>
                <w:i w:val="0"/>
                <w:iCs w:val="0"/>
                <w:color w:val="000000"/>
                <w:sz w:val="22"/>
                <w:szCs w:val="22"/>
                <w:u w:val="none"/>
              </w:rPr>
            </w:pPr>
          </w:p>
        </w:tc>
      </w:tr>
      <w:tr w14:paraId="070DE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6D9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84B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220kV海珠至赤沙双回线路管道光缆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BDB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9286.91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DC25F">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8CA60">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2FA05">
            <w:pPr>
              <w:rPr>
                <w:rFonts w:hint="eastAsia" w:ascii="宋体" w:hAnsi="宋体" w:eastAsia="宋体" w:cs="宋体"/>
                <w:i w:val="0"/>
                <w:iCs w:val="0"/>
                <w:color w:val="000000"/>
                <w:sz w:val="22"/>
                <w:szCs w:val="22"/>
                <w:u w:val="none"/>
              </w:rPr>
            </w:pPr>
          </w:p>
        </w:tc>
      </w:tr>
      <w:tr w14:paraId="30499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EF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74E5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220kV海珠至柳园双回线路管道光缆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30F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29168.26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C3A73">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A542">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8DFA9">
            <w:pPr>
              <w:rPr>
                <w:rFonts w:hint="eastAsia" w:ascii="宋体" w:hAnsi="宋体" w:eastAsia="宋体" w:cs="宋体"/>
                <w:i w:val="0"/>
                <w:iCs w:val="0"/>
                <w:color w:val="000000"/>
                <w:sz w:val="22"/>
                <w:szCs w:val="22"/>
                <w:u w:val="none"/>
              </w:rPr>
            </w:pPr>
          </w:p>
        </w:tc>
      </w:tr>
      <w:tr w14:paraId="41693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59B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817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220kV海珠至磨碟洲双回线路管道光缆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264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15790.37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332EF">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8D133">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BF18A">
            <w:pPr>
              <w:rPr>
                <w:rFonts w:hint="eastAsia" w:ascii="宋体" w:hAnsi="宋体" w:eastAsia="宋体" w:cs="宋体"/>
                <w:i w:val="0"/>
                <w:iCs w:val="0"/>
                <w:color w:val="000000"/>
                <w:sz w:val="22"/>
                <w:szCs w:val="22"/>
                <w:u w:val="none"/>
              </w:rPr>
            </w:pPr>
          </w:p>
        </w:tc>
      </w:tr>
      <w:tr w14:paraId="06BFD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AE0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E8F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220kV海珠至棠下双回线路管道光缆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0B8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21068.67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4FD6C">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D41E3">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D9571">
            <w:pPr>
              <w:rPr>
                <w:rFonts w:hint="eastAsia" w:ascii="宋体" w:hAnsi="宋体" w:eastAsia="宋体" w:cs="宋体"/>
                <w:i w:val="0"/>
                <w:iCs w:val="0"/>
                <w:color w:val="000000"/>
                <w:sz w:val="22"/>
                <w:szCs w:val="22"/>
                <w:u w:val="none"/>
              </w:rPr>
            </w:pPr>
          </w:p>
        </w:tc>
      </w:tr>
      <w:tr w14:paraId="6FB30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0BD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C1FF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500kV广南站220kV广厚甲乙间隔调至220kV广芳甲乙间隔架空线路工程配套光缆</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0E3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1C370">
            <w:pPr>
              <w:jc w:val="center"/>
              <w:rPr>
                <w:rFonts w:hint="eastAsia" w:ascii="宋体" w:hAnsi="宋体" w:eastAsia="宋体" w:cs="宋体"/>
                <w:i w:val="0"/>
                <w:iCs w:val="0"/>
                <w:color w:val="000000"/>
                <w:sz w:val="21"/>
                <w:szCs w:val="21"/>
                <w:u w:val="singl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62BA6">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59119">
            <w:pPr>
              <w:rPr>
                <w:rFonts w:hint="eastAsia" w:ascii="宋体" w:hAnsi="宋体" w:eastAsia="宋体" w:cs="宋体"/>
                <w:i w:val="0"/>
                <w:iCs w:val="0"/>
                <w:color w:val="000000"/>
                <w:sz w:val="22"/>
                <w:szCs w:val="22"/>
                <w:u w:val="none"/>
              </w:rPr>
            </w:pPr>
          </w:p>
        </w:tc>
      </w:tr>
      <w:tr w14:paraId="0ECF4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7816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五</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13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合 </w:t>
            </w:r>
            <w:r>
              <w:rPr>
                <w:rStyle w:val="19"/>
                <w:lang w:val="en-US" w:eastAsia="zh-CN" w:bidi="ar"/>
              </w:rPr>
              <w:t xml:space="preserve"> 计</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FD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rPr>
              <w:t>1496502.51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mc:AlternateContent>
              <mc:Choice Requires="wpsCustomData">
                <wpsCustomData:diagonals>
                  <wpsCustomData:diagonal from="20000" to="0">
                    <wpsCustomData:border w:val="single" w:color="000000" w:sz="4" w:space="0"/>
                  </wpsCustomData:diagonal>
                </wpsCustomData:diagonals>
              </mc:Choice>
            </mc:AlternateContent>
          </w:tcPr>
          <w:p w14:paraId="112AFDBB">
            <w:pPr>
              <w:snapToGrid w:val="0"/>
              <w:spacing w:line="240" w:lineRule="auto"/>
              <w:jc w:val="center"/>
              <mc:AlternateContent>
                <mc:Choice Requires="wpsCustomData">
                  <wpsCustomData:diagonalParaType/>
                </mc:Choice>
              </mc:AlternateContent>
              <w:rPr>
                <w:rFonts w:hint="eastAsia" w:ascii="宋体" w:hAnsi="宋体" w:eastAsia="宋体" w:cs="宋体"/>
                <w:b/>
                <w:bCs/>
                <w:i w:val="0"/>
                <w:iCs w:val="0"/>
                <w:color w:val="000000"/>
                <w:sz w:val="21"/>
                <w:szCs w:val="21"/>
                <w:u w:val="none"/>
                <w:lang w:val="en-US" w:eastAsia="zh-CN"/>
              </w:rPr>
            </w:pPr>
          </w:p>
          <w:p w14:paraId="7A773237">
            <w:pPr>
              <w:jc w:val="center"/>
              <w:rPr>
                <w:rFonts w:hint="eastAsia" w:ascii="宋体" w:hAnsi="宋体" w:eastAsia="宋体" w:cs="宋体"/>
                <w:b/>
                <w:bCs/>
                <w:i w:val="0"/>
                <w:iCs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7EBB9">
            <w:pPr>
              <w:jc w:val="center"/>
              <w:rPr>
                <w:rFonts w:hint="eastAsia" w:ascii="宋体" w:hAnsi="宋体" w:eastAsia="宋体" w:cs="宋体"/>
                <w:b/>
                <w:bCs/>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53438">
            <w:pPr>
              <w:rPr>
                <w:rFonts w:hint="eastAsia" w:ascii="宋体" w:hAnsi="宋体" w:eastAsia="宋体" w:cs="宋体"/>
                <w:i w:val="0"/>
                <w:iCs w:val="0"/>
                <w:color w:val="000000"/>
                <w:sz w:val="22"/>
                <w:szCs w:val="22"/>
                <w:u w:val="none"/>
              </w:rPr>
            </w:pPr>
          </w:p>
        </w:tc>
      </w:tr>
    </w:tbl>
    <w:p w14:paraId="78CA521E">
      <w:pPr>
        <w:pStyle w:val="9"/>
        <w:bidi w:val="0"/>
        <w:rPr>
          <w:rFonts w:hint="eastAsia"/>
          <w:lang w:val="en-US" w:eastAsia="zh-CN"/>
        </w:rPr>
      </w:pPr>
    </w:p>
    <w:p w14:paraId="549F7D1E">
      <w:pPr>
        <w:pStyle w:val="3"/>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2B3FF6F8">
      <w:pPr>
        <w:pStyle w:val="11"/>
        <w:keepNext w:val="0"/>
        <w:keepLines w:val="0"/>
        <w:pageBreakBefore w:val="0"/>
        <w:widowControl/>
        <w:kinsoku/>
        <w:wordWrap/>
        <w:overflowPunct/>
        <w:topLinePunct w:val="0"/>
        <w:autoSpaceDE/>
        <w:autoSpaceDN/>
        <w:bidi w:val="0"/>
        <w:adjustRightInd/>
        <w:snapToGrid/>
        <w:spacing w:before="0" w:after="0" w:line="400" w:lineRule="exact"/>
        <w:ind w:firstLine="420" w:firstLineChars="200"/>
        <w:jc w:val="left"/>
        <w:textAlignment w:val="auto"/>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 xml:space="preserve"> （1）按下浮率报价（保留两位小数，如8.88%），同时填报投标报价（投标报价=最高投标限价*（1-投标下浮率），四舍五入保留两位小数）。当投标报价与投标下浮率计算结果不一致时，以投标下浮率为准，按上述公式修订投标报价。</w:t>
      </w:r>
    </w:p>
    <w:p w14:paraId="73B86575">
      <w:pPr>
        <w:pStyle w:val="11"/>
        <w:keepNext w:val="0"/>
        <w:keepLines w:val="0"/>
        <w:pageBreakBefore w:val="0"/>
        <w:widowControl/>
        <w:kinsoku/>
        <w:wordWrap/>
        <w:overflowPunct/>
        <w:topLinePunct w:val="0"/>
        <w:autoSpaceDE/>
        <w:autoSpaceDN/>
        <w:bidi w:val="0"/>
        <w:adjustRightInd/>
        <w:snapToGrid/>
        <w:spacing w:before="0" w:after="0" w:line="400" w:lineRule="exact"/>
        <w:ind w:firstLine="420" w:firstLineChars="200"/>
        <w:jc w:val="left"/>
        <w:textAlignment w:val="auto"/>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 xml:space="preserve">  （2）投标下浮率不低于0%为有效报价；当投标下浮率＞10%时应附成本分析报告，充分说明单价和费用的组成、降低成本的合理措施及在其他工程中应用过的经验等，经评审通过后方可视为有效报价。</w:t>
      </w:r>
    </w:p>
    <w:p w14:paraId="63ADE434">
      <w:pPr>
        <w:pStyle w:val="11"/>
        <w:keepNext w:val="0"/>
        <w:keepLines w:val="0"/>
        <w:pageBreakBefore w:val="0"/>
        <w:widowControl/>
        <w:kinsoku/>
        <w:wordWrap/>
        <w:overflowPunct/>
        <w:topLinePunct w:val="0"/>
        <w:autoSpaceDE/>
        <w:autoSpaceDN/>
        <w:bidi w:val="0"/>
        <w:adjustRightInd/>
        <w:snapToGrid/>
        <w:spacing w:before="0" w:after="0" w:line="400" w:lineRule="exact"/>
        <w:ind w:firstLine="420" w:firstLineChars="200"/>
        <w:jc w:val="left"/>
        <w:textAlignment w:val="auto"/>
        <w:rPr>
          <w:rFonts w:hint="eastAsia" w:ascii="宋体" w:hAnsi="宋体" w:eastAsia="宋体" w:cs="宋体"/>
          <w:b w:val="0"/>
          <w:bCs w:val="0"/>
          <w:color w:val="auto"/>
          <w:kern w:val="0"/>
          <w:sz w:val="21"/>
          <w:szCs w:val="21"/>
          <w:highlight w:val="none"/>
          <w:u w:val="singl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 xml:space="preserve">（3）价格分计算时，投标人评标价按（100-投标人填写的下浮数值）参与计算。如：下浮率为1.88％时，评标价按（100-1.88）参与计算。  </w:t>
      </w:r>
    </w:p>
    <w:p w14:paraId="6B020230">
      <w:pPr>
        <w:pStyle w:val="5"/>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77F9DFC8">
      <w:pPr>
        <w:pStyle w:val="8"/>
        <w:spacing w:line="360" w:lineRule="auto"/>
        <w:ind w:left="0" w:leftChars="0" w:firstLine="420" w:firstLineChars="200"/>
        <w:rPr>
          <w:rFonts w:hint="eastAsia" w:ascii="宋体" w:hAnsi="宋体" w:eastAsia="宋体" w:cs="宋体"/>
          <w:color w:val="auto"/>
          <w:szCs w:val="21"/>
          <w:highlight w:val="none"/>
          <w:u w:val="single"/>
        </w:rPr>
      </w:pPr>
      <w:r>
        <w:rPr>
          <w:rFonts w:hint="eastAsia" w:ascii="宋体" w:hAnsi="宋体" w:eastAsia="宋体" w:cs="宋体"/>
          <w:b w:val="0"/>
          <w:bCs w:val="0"/>
          <w:color w:val="auto"/>
          <w:kern w:val="2"/>
          <w:sz w:val="21"/>
          <w:szCs w:val="21"/>
          <w:highlight w:val="none"/>
          <w:u w:val="single"/>
          <w:lang w:val="en-US" w:eastAsia="zh-CN" w:bidi="ar-SA"/>
        </w:rPr>
        <w:t>本合同为暂定价合同，最终合同结算价为：（审定初步设计概算监理费+ 初设概算监理计费范围以外的监理工作费用）×（1-投标下浮率）+监理增加费±合同内约定且实际发生的相关奖罚费用 + 招标代理服务费</w:t>
      </w:r>
      <w:r>
        <w:rPr>
          <w:rFonts w:hint="eastAsia" w:ascii="宋体" w:hAnsi="宋体" w:eastAsia="宋体" w:cs="宋体"/>
          <w:color w:val="auto"/>
          <w:szCs w:val="21"/>
          <w:highlight w:val="none"/>
          <w:u w:val="single"/>
        </w:rPr>
        <w:t>。</w:t>
      </w:r>
    </w:p>
    <w:p w14:paraId="2D98E894">
      <w:pPr>
        <w:pStyle w:val="8"/>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其中：</w:t>
      </w:r>
    </w:p>
    <w:p w14:paraId="5C8D4127">
      <w:pPr>
        <w:pStyle w:val="8"/>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1）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14:paraId="7F04ADED">
      <w:pPr>
        <w:pStyle w:val="8"/>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因规模变化需要调整可研、初设、施工图的，结算价按调整后批复的初设概算对应参与阶段的监理费用×（1-投标下浮率）+监理增加费进行结算。</w:t>
      </w:r>
    </w:p>
    <w:p w14:paraId="3B7B4A35">
      <w:pPr>
        <w:pStyle w:val="8"/>
        <w:spacing w:line="360" w:lineRule="auto"/>
        <w:ind w:left="0" w:leftChars="0" w:firstLine="420" w:firstLineChars="200"/>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因监理增加费造成结算费用超过以审定的概算为基数的监理费的，按上述公式和审定的概算为基数的监理费两者较低值进行结算。</w:t>
      </w:r>
    </w:p>
    <w:p w14:paraId="7EEB2A90">
      <w:pPr>
        <w:pStyle w:val="8"/>
        <w:spacing w:line="360" w:lineRule="auto"/>
        <w:ind w:left="0" w:leftChars="0" w:firstLine="420" w:firstLineChars="200"/>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注：监理增加费按《公司基于本质安全管理的主网基建项目施工监理费用指导意见讨论会纪要》（输配电〔2025〕第 66 期）执行。</w:t>
      </w:r>
    </w:p>
    <w:p w14:paraId="233E0670">
      <w:pPr>
        <w:pStyle w:val="8"/>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14:paraId="1BD38965">
      <w:pPr>
        <w:pStyle w:val="8"/>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（3）招标代理服务费按实际支付给招标代理的费用为准，监理人可在预付款申请或进度款申请时同时申请支付。</w:t>
      </w:r>
    </w:p>
    <w:p w14:paraId="0A74024B">
      <w:pPr>
        <w:pStyle w:val="8"/>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（4）投标下浮率（%）＝（1-投标报价/最高投标限价）×100%</w:t>
      </w:r>
    </w:p>
    <w:p w14:paraId="505F77CE">
      <w:pPr>
        <w:pStyle w:val="11"/>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w:t>
      </w:r>
    </w:p>
    <w:p w14:paraId="7F2CE863">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4A296313">
      <w:pPr>
        <w:pStyle w:val="2"/>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2141B0F6">
      <w:pPr>
        <w:pStyle w:val="2"/>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48581233">
      <w:pPr>
        <w:pStyle w:val="11"/>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49172BEC">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6" w:name="_GoBack"/>
      <w:bookmarkEnd w:id="6"/>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06755E13">
      <w:pPr>
        <w:pStyle w:val="5"/>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w:t>
      </w:r>
      <w:bookmarkEnd w:id="1"/>
      <w:bookmarkStart w:id="2" w:name="_Toc508286566"/>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5C05A5EB">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1D81C07C">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0B7B43FF">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5D677045">
      <w:pPr>
        <w:pStyle w:val="9"/>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428101E9">
      <w:pPr>
        <w:pStyle w:val="9"/>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1FFC3A5A">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54394C48">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668F5717">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47D8C802">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2B77E5DC">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3DF22245">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07F54A8D">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5912CFC1">
      <w:pPr>
        <w:pStyle w:val="9"/>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1ACDF18E">
      <w:pPr>
        <w:pStyle w:val="5"/>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4"/>
      <w:bookmarkStart w:id="4" w:name="_Toc30760"/>
      <w:r>
        <w:rPr>
          <w:rFonts w:hint="eastAsia" w:asciiTheme="minorEastAsia" w:hAnsiTheme="minorEastAsia" w:eastAsiaTheme="minorEastAsia" w:cstheme="minorEastAsia"/>
          <w:i w:val="0"/>
          <w:iCs/>
          <w:color w:val="auto"/>
          <w:sz w:val="24"/>
          <w:szCs w:val="24"/>
          <w:highlight w:val="none"/>
          <w:lang w:eastAsia="zh-CN"/>
        </w:rPr>
        <w:t>四、</w:t>
      </w:r>
      <w:bookmarkEnd w:id="3"/>
      <w:bookmarkStart w:id="5"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4"/>
      <w:bookmarkEnd w:id="5"/>
    </w:p>
    <w:p w14:paraId="516736C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30A71159">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）工程前期有关文件（可研</w:t>
      </w:r>
      <w:r>
        <w:rPr>
          <w:rFonts w:hint="eastAsia" w:asciiTheme="minorEastAsia" w:hAnsiTheme="minorEastAsia" w:eastAsiaTheme="minorEastAsia" w:cstheme="minorEastAsia"/>
          <w:color w:val="auto"/>
          <w:sz w:val="24"/>
          <w:szCs w:val="24"/>
          <w:highlight w:val="none"/>
          <w:lang w:val="en-US" w:eastAsia="zh-CN"/>
        </w:rPr>
        <w:t>批复文件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p>
    <w:p w14:paraId="2DE69214">
      <w:pPr>
        <w:pStyle w:val="2"/>
        <w:rPr>
          <w:rFonts w:hint="eastAsia" w:asciiTheme="minorEastAsia" w:hAnsiTheme="minorEastAsia" w:eastAsiaTheme="minorEastAsia" w:cstheme="minorEastAsia"/>
          <w:color w:val="auto"/>
          <w:sz w:val="24"/>
          <w:szCs w:val="24"/>
          <w:highlight w:val="none"/>
          <w:lang w:eastAsia="zh-CN"/>
        </w:rPr>
      </w:pPr>
    </w:p>
    <w:p w14:paraId="3F1A473D">
      <w:pPr>
        <w:pStyle w:val="2"/>
        <w:rPr>
          <w:rFonts w:hint="eastAsia" w:asciiTheme="minorEastAsia" w:hAnsiTheme="minorEastAsia" w:eastAsiaTheme="minorEastAsia" w:cstheme="minorEastAsia"/>
          <w:color w:val="auto"/>
          <w:sz w:val="24"/>
          <w:szCs w:val="24"/>
          <w:highlight w:val="none"/>
          <w:lang w:eastAsia="zh-CN"/>
        </w:rPr>
      </w:pPr>
    </w:p>
    <w:p w14:paraId="6265C8A0">
      <w:pPr>
        <w:pStyle w:val="2"/>
        <w:rPr>
          <w:rFonts w:hint="eastAsia" w:asciiTheme="minorEastAsia" w:hAnsiTheme="minorEastAsia" w:eastAsiaTheme="minorEastAsia" w:cstheme="minorEastAsia"/>
          <w:color w:val="auto"/>
          <w:sz w:val="24"/>
          <w:szCs w:val="24"/>
          <w:highlight w:val="none"/>
          <w:lang w:eastAsia="zh-CN"/>
        </w:rPr>
      </w:pPr>
    </w:p>
    <w:p w14:paraId="40B89AAA">
      <w:pPr>
        <w:pStyle w:val="2"/>
        <w:rPr>
          <w:rFonts w:hint="eastAsia" w:asciiTheme="minorEastAsia" w:hAnsiTheme="minorEastAsia" w:eastAsiaTheme="minorEastAsia" w:cstheme="minorEastAsia"/>
          <w:color w:val="auto"/>
          <w:sz w:val="24"/>
          <w:szCs w:val="24"/>
          <w:highlight w:val="none"/>
          <w:lang w:eastAsia="zh-CN"/>
        </w:rPr>
      </w:pPr>
    </w:p>
    <w:p w14:paraId="2804C455">
      <w:pPr>
        <w:pStyle w:val="2"/>
        <w:rPr>
          <w:rFonts w:hint="eastAsia" w:asciiTheme="minorEastAsia" w:hAnsiTheme="minorEastAsia" w:eastAsiaTheme="minorEastAsia" w:cstheme="minorEastAsia"/>
          <w:color w:val="auto"/>
          <w:sz w:val="24"/>
          <w:szCs w:val="24"/>
          <w:highlight w:val="none"/>
          <w:lang w:eastAsia="zh-CN"/>
        </w:rPr>
      </w:pPr>
    </w:p>
    <w:p w14:paraId="02D89298">
      <w:pPr>
        <w:pStyle w:val="2"/>
        <w:rPr>
          <w:rFonts w:hint="eastAsia" w:asciiTheme="minorEastAsia" w:hAnsiTheme="minorEastAsia" w:eastAsiaTheme="minorEastAsia" w:cstheme="minorEastAsia"/>
          <w:color w:val="auto"/>
          <w:sz w:val="24"/>
          <w:szCs w:val="24"/>
          <w:highlight w:val="none"/>
          <w:lang w:eastAsia="zh-CN"/>
        </w:rPr>
      </w:pPr>
    </w:p>
    <w:p w14:paraId="738B77A6">
      <w:pPr>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07B0FBE"/>
    <w:rsid w:val="008C5AA7"/>
    <w:rsid w:val="009C1A7C"/>
    <w:rsid w:val="034C42F7"/>
    <w:rsid w:val="03F1316B"/>
    <w:rsid w:val="04A24F71"/>
    <w:rsid w:val="076F3B3B"/>
    <w:rsid w:val="07CA37DF"/>
    <w:rsid w:val="07CC3833"/>
    <w:rsid w:val="088F2B8B"/>
    <w:rsid w:val="0A7B11F8"/>
    <w:rsid w:val="0BC07002"/>
    <w:rsid w:val="0BD30473"/>
    <w:rsid w:val="0E2F4C02"/>
    <w:rsid w:val="0E3616E0"/>
    <w:rsid w:val="0E937FF7"/>
    <w:rsid w:val="0F81532F"/>
    <w:rsid w:val="107144D2"/>
    <w:rsid w:val="116419AD"/>
    <w:rsid w:val="11794537"/>
    <w:rsid w:val="11DF6CFE"/>
    <w:rsid w:val="13383335"/>
    <w:rsid w:val="14440D4B"/>
    <w:rsid w:val="14B666F3"/>
    <w:rsid w:val="15056A61"/>
    <w:rsid w:val="1619391F"/>
    <w:rsid w:val="173133BB"/>
    <w:rsid w:val="182633AB"/>
    <w:rsid w:val="18E57496"/>
    <w:rsid w:val="1A2D5CFF"/>
    <w:rsid w:val="1A386933"/>
    <w:rsid w:val="1A4F176B"/>
    <w:rsid w:val="1A912F72"/>
    <w:rsid w:val="1B663F82"/>
    <w:rsid w:val="1C2D4629"/>
    <w:rsid w:val="1C43636C"/>
    <w:rsid w:val="1D904223"/>
    <w:rsid w:val="1F653C49"/>
    <w:rsid w:val="1F6C0D31"/>
    <w:rsid w:val="1F6F74E8"/>
    <w:rsid w:val="1FE26B5A"/>
    <w:rsid w:val="1FF914D4"/>
    <w:rsid w:val="202526FC"/>
    <w:rsid w:val="20735046"/>
    <w:rsid w:val="216F4D5B"/>
    <w:rsid w:val="23B738BA"/>
    <w:rsid w:val="24E67795"/>
    <w:rsid w:val="24F737D8"/>
    <w:rsid w:val="25100685"/>
    <w:rsid w:val="26180EA0"/>
    <w:rsid w:val="26A73075"/>
    <w:rsid w:val="271B228E"/>
    <w:rsid w:val="29CB3B36"/>
    <w:rsid w:val="2B2866B6"/>
    <w:rsid w:val="2CA17C08"/>
    <w:rsid w:val="2CB852DC"/>
    <w:rsid w:val="2DDF66E3"/>
    <w:rsid w:val="2FB96B78"/>
    <w:rsid w:val="2FF65FF8"/>
    <w:rsid w:val="300D195C"/>
    <w:rsid w:val="30BF37B5"/>
    <w:rsid w:val="31C955A9"/>
    <w:rsid w:val="33B200AF"/>
    <w:rsid w:val="33E61BE2"/>
    <w:rsid w:val="355A6D87"/>
    <w:rsid w:val="35DD1F1E"/>
    <w:rsid w:val="361736AD"/>
    <w:rsid w:val="36D200CF"/>
    <w:rsid w:val="379951F8"/>
    <w:rsid w:val="37DC2334"/>
    <w:rsid w:val="38382DC3"/>
    <w:rsid w:val="38DE045C"/>
    <w:rsid w:val="396024A7"/>
    <w:rsid w:val="3A546240"/>
    <w:rsid w:val="3B877EA7"/>
    <w:rsid w:val="3BF24D81"/>
    <w:rsid w:val="3BFE7BEA"/>
    <w:rsid w:val="3C4750A3"/>
    <w:rsid w:val="3C4A35F1"/>
    <w:rsid w:val="3CA07DAD"/>
    <w:rsid w:val="3DD81385"/>
    <w:rsid w:val="3E566026"/>
    <w:rsid w:val="3E664B6D"/>
    <w:rsid w:val="3EAE7F6D"/>
    <w:rsid w:val="3EC76FCE"/>
    <w:rsid w:val="3ED7087B"/>
    <w:rsid w:val="3F141BFC"/>
    <w:rsid w:val="3F9555E8"/>
    <w:rsid w:val="41896E9E"/>
    <w:rsid w:val="42AF1905"/>
    <w:rsid w:val="44124CF2"/>
    <w:rsid w:val="444D481C"/>
    <w:rsid w:val="44982260"/>
    <w:rsid w:val="44D414C9"/>
    <w:rsid w:val="45040007"/>
    <w:rsid w:val="45DF36BB"/>
    <w:rsid w:val="46472D5E"/>
    <w:rsid w:val="46F42D4A"/>
    <w:rsid w:val="496A657E"/>
    <w:rsid w:val="49843C09"/>
    <w:rsid w:val="4B3A1BDA"/>
    <w:rsid w:val="4B8F410E"/>
    <w:rsid w:val="4BCD3817"/>
    <w:rsid w:val="4BF83760"/>
    <w:rsid w:val="4C8349B8"/>
    <w:rsid w:val="4DD42A6A"/>
    <w:rsid w:val="50C2032E"/>
    <w:rsid w:val="5137436F"/>
    <w:rsid w:val="520D6E5F"/>
    <w:rsid w:val="53115540"/>
    <w:rsid w:val="5479091D"/>
    <w:rsid w:val="54A775EF"/>
    <w:rsid w:val="55192EDB"/>
    <w:rsid w:val="55C3156A"/>
    <w:rsid w:val="563814C2"/>
    <w:rsid w:val="5782183A"/>
    <w:rsid w:val="57BD355E"/>
    <w:rsid w:val="588C070C"/>
    <w:rsid w:val="59A5419F"/>
    <w:rsid w:val="5B0320E2"/>
    <w:rsid w:val="5B8B11A7"/>
    <w:rsid w:val="5B9E2EC4"/>
    <w:rsid w:val="5F170E4F"/>
    <w:rsid w:val="608606DE"/>
    <w:rsid w:val="610E324A"/>
    <w:rsid w:val="61F31EFD"/>
    <w:rsid w:val="63066BC7"/>
    <w:rsid w:val="63D0487B"/>
    <w:rsid w:val="64672037"/>
    <w:rsid w:val="64911DA0"/>
    <w:rsid w:val="65945D8D"/>
    <w:rsid w:val="66B33D1D"/>
    <w:rsid w:val="66B555F5"/>
    <w:rsid w:val="66C35559"/>
    <w:rsid w:val="67D57489"/>
    <w:rsid w:val="68570F93"/>
    <w:rsid w:val="6A287B5E"/>
    <w:rsid w:val="6B303A1A"/>
    <w:rsid w:val="6C2C1E42"/>
    <w:rsid w:val="6C7E3B0E"/>
    <w:rsid w:val="6DAA2FDF"/>
    <w:rsid w:val="6E121228"/>
    <w:rsid w:val="6FC971BF"/>
    <w:rsid w:val="70403D84"/>
    <w:rsid w:val="70D1495F"/>
    <w:rsid w:val="70ED510D"/>
    <w:rsid w:val="74144E7E"/>
    <w:rsid w:val="74695E39"/>
    <w:rsid w:val="754C6F3B"/>
    <w:rsid w:val="75B11AFF"/>
    <w:rsid w:val="75D32619"/>
    <w:rsid w:val="765369C1"/>
    <w:rsid w:val="767D6887"/>
    <w:rsid w:val="780B6A75"/>
    <w:rsid w:val="79A90CA8"/>
    <w:rsid w:val="79F83E18"/>
    <w:rsid w:val="7A262145"/>
    <w:rsid w:val="7BEC3F2B"/>
    <w:rsid w:val="7D0F76D8"/>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3">
    <w:name w:val="Body Text"/>
    <w:basedOn w:val="1"/>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paragraph" w:customStyle="1" w:styleId="16">
    <w:name w:val="正文首行缩进1"/>
    <w:basedOn w:val="1"/>
    <w:qFormat/>
    <w:uiPriority w:val="0"/>
    <w:pPr>
      <w:spacing w:line="360" w:lineRule="auto"/>
      <w:ind w:firstLine="200" w:firstLineChars="200"/>
    </w:pPr>
    <w:rPr>
      <w:kern w:val="2"/>
      <w:sz w:val="24"/>
      <w:szCs w:val="24"/>
    </w:rPr>
  </w:style>
  <w:style w:type="character" w:customStyle="1" w:styleId="17">
    <w:name w:val="font51"/>
    <w:basedOn w:val="14"/>
    <w:qFormat/>
    <w:uiPriority w:val="0"/>
    <w:rPr>
      <w:rFonts w:ascii="Calibri" w:hAnsi="Calibri" w:cs="Calibri"/>
      <w:color w:val="000000"/>
      <w:sz w:val="21"/>
      <w:szCs w:val="21"/>
      <w:u w:val="none"/>
    </w:rPr>
  </w:style>
  <w:style w:type="character" w:customStyle="1" w:styleId="18">
    <w:name w:val="font11"/>
    <w:basedOn w:val="14"/>
    <w:uiPriority w:val="0"/>
    <w:rPr>
      <w:rFonts w:hint="eastAsia" w:ascii="宋体" w:hAnsi="宋体" w:eastAsia="宋体" w:cs="宋体"/>
      <w:color w:val="000000"/>
      <w:sz w:val="21"/>
      <w:szCs w:val="21"/>
      <w:u w:val="none"/>
    </w:rPr>
  </w:style>
  <w:style w:type="character" w:customStyle="1" w:styleId="19">
    <w:name w:val="font31"/>
    <w:basedOn w:val="14"/>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3694</Words>
  <Characters>4461</Characters>
  <Lines>0</Lines>
  <Paragraphs>0</Paragraphs>
  <TotalTime>17</TotalTime>
  <ScaleCrop>false</ScaleCrop>
  <LinksUpToDate>false</LinksUpToDate>
  <CharactersWithSpaces>4775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2025-10-28T07:32:11Z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3A138F704F1244439A837D9FA8D63B2B_13</vt:lpwstr>
  </property>
  <property fmtid="{D5CDD505-2E9C-101B-9397-08002B2CF9AE}" pid="4" name="KSOTemplateDocerSaveRecord">
    <vt:lpwstr>eyJoZGlkIjoiNGQxZGUyZmQ5MDU5MjhiNzUxNWY4N2Q0ZGU2Y2VhOTgiLCJ1c2VySWQiOiI3MDM5OTYzMzMifQ==</vt:lpwstr>
  </property>
</Properties>
</file>