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BAAA00">
      <w:pPr>
        <w:pStyle w:val="10"/>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snapToGrid w:val="0"/>
          <w:color w:val="auto"/>
          <w:kern w:val="0"/>
          <w:sz w:val="32"/>
          <w:szCs w:val="32"/>
          <w:highlight w:val="none"/>
          <w:u w:val="none"/>
          <w:lang w:val="en-US" w:eastAsia="zh-CN"/>
        </w:rPr>
      </w:pPr>
      <w:bookmarkStart w:id="0" w:name="_Toc8445"/>
      <w:r>
        <w:rPr>
          <w:rFonts w:hint="eastAsia" w:asciiTheme="minorEastAsia" w:hAnsiTheme="minorEastAsia" w:eastAsiaTheme="minorEastAsia" w:cstheme="minorEastAsia"/>
          <w:b/>
          <w:bCs/>
          <w:snapToGrid w:val="0"/>
          <w:color w:val="auto"/>
          <w:kern w:val="0"/>
          <w:sz w:val="32"/>
          <w:szCs w:val="32"/>
          <w:highlight w:val="none"/>
          <w:u w:val="none"/>
          <w:lang w:val="en-US" w:eastAsia="zh-CN"/>
        </w:rPr>
        <w:t>附件A.项目信息清单</w:t>
      </w:r>
      <w:r>
        <w:rPr>
          <w:rFonts w:hint="eastAsia" w:asciiTheme="minorEastAsia" w:hAnsiTheme="minorEastAsia" w:eastAsiaTheme="minorEastAsia" w:cstheme="minorEastAsia"/>
          <w:b/>
          <w:bCs/>
          <w:snapToGrid w:val="0"/>
          <w:color w:val="auto"/>
          <w:kern w:val="0"/>
          <w:sz w:val="28"/>
          <w:szCs w:val="28"/>
          <w:highlight w:val="none"/>
          <w:u w:val="none"/>
          <w:lang w:val="en-US" w:eastAsia="zh-CN"/>
        </w:rPr>
        <w:t>（</w:t>
      </w:r>
      <w:r>
        <w:rPr>
          <w:rFonts w:hint="eastAsia" w:asciiTheme="minorEastAsia" w:hAnsiTheme="minorEastAsia" w:eastAsiaTheme="minorEastAsia" w:cstheme="minorEastAsia"/>
          <w:b/>
          <w:bCs/>
          <w:snapToGrid w:val="0"/>
          <w:color w:val="auto"/>
          <w:kern w:val="0"/>
          <w:sz w:val="28"/>
          <w:szCs w:val="28"/>
          <w:highlight w:val="none"/>
          <w:u w:val="single"/>
          <w:lang w:val="en-US" w:eastAsia="zh-CN"/>
        </w:rPr>
        <w:t xml:space="preserve"> 110千伏中元输变电工程</w:t>
      </w:r>
      <w:r>
        <w:rPr>
          <w:rFonts w:hint="eastAsia" w:asciiTheme="minorEastAsia" w:hAnsiTheme="minorEastAsia" w:eastAsiaTheme="minorEastAsia" w:cstheme="minorEastAsia"/>
          <w:b/>
          <w:bCs/>
          <w:snapToGrid w:val="0"/>
          <w:color w:val="auto"/>
          <w:kern w:val="0"/>
          <w:sz w:val="28"/>
          <w:szCs w:val="28"/>
          <w:highlight w:val="none"/>
          <w:u w:val="none"/>
          <w:lang w:val="en-US" w:eastAsia="zh-CN"/>
        </w:rPr>
        <w:t>监理）</w:t>
      </w:r>
    </w:p>
    <w:bookmarkEnd w:id="0"/>
    <w:p w14:paraId="2010DB3A">
      <w:pPr>
        <w:pStyle w:val="10"/>
        <w:keepNext w:val="0"/>
        <w:keepLines w:val="0"/>
        <w:pageBreakBefore w:val="0"/>
        <w:widowControl w:val="0"/>
        <w:numPr>
          <w:ilvl w:val="0"/>
          <w:numId w:val="1"/>
        </w:numPr>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color w:val="auto"/>
          <w:sz w:val="28"/>
          <w:szCs w:val="28"/>
          <w:highlight w:val="none"/>
          <w:u w:val="none"/>
          <w:lang w:val="en-US" w:eastAsia="zh-CN"/>
        </w:rPr>
      </w:pPr>
      <w:r>
        <w:rPr>
          <w:rFonts w:hint="eastAsia" w:asciiTheme="minorEastAsia" w:hAnsiTheme="minorEastAsia" w:eastAsiaTheme="minorEastAsia" w:cstheme="minorEastAsia"/>
          <w:b/>
          <w:bCs/>
          <w:snapToGrid w:val="0"/>
          <w:color w:val="auto"/>
          <w:kern w:val="0"/>
          <w:sz w:val="28"/>
          <w:szCs w:val="28"/>
          <w:highlight w:val="none"/>
          <w:u w:val="none"/>
          <w:lang w:val="en-US" w:eastAsia="zh-CN"/>
        </w:rPr>
        <w:t>项目信息</w:t>
      </w:r>
    </w:p>
    <w:p w14:paraId="01D980A3">
      <w:pPr>
        <w:pStyle w:val="10"/>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bCs/>
          <w:color w:val="auto"/>
          <w:sz w:val="24"/>
          <w:szCs w:val="24"/>
          <w:highlight w:val="none"/>
          <w:u w:val="none"/>
          <w:lang w:val="en-US" w:eastAsia="zh-CN"/>
        </w:rPr>
      </w:pPr>
      <w:r>
        <w:rPr>
          <w:rFonts w:hint="eastAsia" w:hAnsi="宋体" w:cs="宋体"/>
          <w:b/>
          <w:bCs/>
          <w:snapToGrid w:val="0"/>
          <w:color w:val="auto"/>
          <w:kern w:val="0"/>
          <w:sz w:val="24"/>
          <w:szCs w:val="24"/>
          <w:highlight w:val="none"/>
          <w:u w:val="none"/>
          <w:lang w:val="en-US" w:eastAsia="zh-CN"/>
        </w:rPr>
        <w:t>招标前期资料</w:t>
      </w:r>
    </w:p>
    <w:tbl>
      <w:tblPr>
        <w:tblStyle w:val="12"/>
        <w:tblW w:w="98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6"/>
        <w:gridCol w:w="3783"/>
        <w:gridCol w:w="5250"/>
      </w:tblGrid>
      <w:tr w14:paraId="60358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exact"/>
          <w:jc w:val="center"/>
        </w:trPr>
        <w:tc>
          <w:tcPr>
            <w:tcW w:w="776" w:type="dxa"/>
            <w:noWrap w:val="0"/>
            <w:vAlign w:val="center"/>
          </w:tcPr>
          <w:p w14:paraId="26799C22">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hAnsi="宋体" w:cs="宋体"/>
                <w:b/>
                <w:bCs/>
                <w:snapToGrid w:val="0"/>
                <w:color w:val="auto"/>
                <w:kern w:val="0"/>
                <w:sz w:val="24"/>
                <w:szCs w:val="24"/>
                <w:highlight w:val="none"/>
                <w:u w:val="none"/>
                <w:vertAlign w:val="baseline"/>
                <w:lang w:val="en-US" w:eastAsia="zh-CN"/>
              </w:rPr>
              <w:t>序号</w:t>
            </w:r>
          </w:p>
        </w:tc>
        <w:tc>
          <w:tcPr>
            <w:tcW w:w="3783" w:type="dxa"/>
            <w:noWrap w:val="0"/>
            <w:vAlign w:val="center"/>
          </w:tcPr>
          <w:p w14:paraId="6E4A43D4">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hAnsi="宋体" w:cs="宋体"/>
                <w:b/>
                <w:bCs/>
                <w:snapToGrid w:val="0"/>
                <w:color w:val="auto"/>
                <w:kern w:val="0"/>
                <w:sz w:val="24"/>
                <w:szCs w:val="24"/>
                <w:highlight w:val="none"/>
                <w:u w:val="none"/>
                <w:vertAlign w:val="baseline"/>
                <w:lang w:val="en-US" w:eastAsia="zh-CN"/>
              </w:rPr>
              <w:t>文件名称</w:t>
            </w:r>
          </w:p>
        </w:tc>
        <w:tc>
          <w:tcPr>
            <w:tcW w:w="5250" w:type="dxa"/>
            <w:noWrap w:val="0"/>
            <w:vAlign w:val="center"/>
          </w:tcPr>
          <w:p w14:paraId="49DDF9BE">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hAnsi="宋体" w:cs="宋体"/>
                <w:b/>
                <w:bCs/>
                <w:snapToGrid w:val="0"/>
                <w:color w:val="auto"/>
                <w:kern w:val="0"/>
                <w:sz w:val="24"/>
                <w:szCs w:val="24"/>
                <w:highlight w:val="none"/>
                <w:u w:val="none"/>
                <w:vertAlign w:val="baseline"/>
                <w:lang w:val="en-US" w:eastAsia="zh-CN"/>
              </w:rPr>
              <w:t>文件文号</w:t>
            </w:r>
          </w:p>
        </w:tc>
      </w:tr>
      <w:tr w14:paraId="258DD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28EBE805">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1</w:t>
            </w:r>
          </w:p>
        </w:tc>
        <w:tc>
          <w:tcPr>
            <w:tcW w:w="3783" w:type="dxa"/>
            <w:noWrap w:val="0"/>
            <w:vAlign w:val="center"/>
          </w:tcPr>
          <w:p w14:paraId="2E09825C">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初设批复文号</w:t>
            </w:r>
          </w:p>
        </w:tc>
        <w:tc>
          <w:tcPr>
            <w:tcW w:w="5250" w:type="dxa"/>
            <w:noWrap w:val="0"/>
            <w:vAlign w:val="center"/>
          </w:tcPr>
          <w:p w14:paraId="0E32B97C">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yellow"/>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广供电基〔2025〕10 号</w:t>
            </w:r>
          </w:p>
        </w:tc>
      </w:tr>
      <w:tr w14:paraId="69113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4D9CF268">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2</w:t>
            </w:r>
          </w:p>
        </w:tc>
        <w:tc>
          <w:tcPr>
            <w:tcW w:w="3783" w:type="dxa"/>
            <w:noWrap w:val="0"/>
            <w:vAlign w:val="center"/>
          </w:tcPr>
          <w:p w14:paraId="145ADA21">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项目核准/备案文号</w:t>
            </w:r>
          </w:p>
        </w:tc>
        <w:tc>
          <w:tcPr>
            <w:tcW w:w="5250" w:type="dxa"/>
            <w:noWrap w:val="0"/>
            <w:vAlign w:val="center"/>
          </w:tcPr>
          <w:p w14:paraId="37A7010F">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yellow"/>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穗发改核准〔2024〕13号</w:t>
            </w:r>
          </w:p>
        </w:tc>
      </w:tr>
      <w:tr w14:paraId="468F3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00EB053C">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3</w:t>
            </w:r>
          </w:p>
        </w:tc>
        <w:tc>
          <w:tcPr>
            <w:tcW w:w="3783" w:type="dxa"/>
            <w:noWrap w:val="0"/>
            <w:vAlign w:val="center"/>
          </w:tcPr>
          <w:p w14:paraId="2FBB164C">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资金落实情况</w:t>
            </w:r>
          </w:p>
        </w:tc>
        <w:tc>
          <w:tcPr>
            <w:tcW w:w="5250" w:type="dxa"/>
            <w:noWrap w:val="0"/>
            <w:vAlign w:val="center"/>
          </w:tcPr>
          <w:p w14:paraId="7B4C92D1">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yellow"/>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广供电资〔2025〕26 号</w:t>
            </w:r>
          </w:p>
        </w:tc>
      </w:tr>
      <w:tr w14:paraId="0690C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00F4A596">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4</w:t>
            </w:r>
          </w:p>
        </w:tc>
        <w:tc>
          <w:tcPr>
            <w:tcW w:w="3783" w:type="dxa"/>
            <w:noWrap w:val="0"/>
            <w:vAlign w:val="center"/>
          </w:tcPr>
          <w:p w14:paraId="4F1121B4">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项目建设单位</w:t>
            </w:r>
          </w:p>
        </w:tc>
        <w:tc>
          <w:tcPr>
            <w:tcW w:w="5250" w:type="dxa"/>
            <w:noWrap w:val="0"/>
            <w:vAlign w:val="center"/>
          </w:tcPr>
          <w:p w14:paraId="32B8A91A">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广东电网有限责任公司广州供电局</w:t>
            </w:r>
          </w:p>
        </w:tc>
      </w:tr>
      <w:tr w14:paraId="6A295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260B095D">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5</w:t>
            </w:r>
          </w:p>
        </w:tc>
        <w:tc>
          <w:tcPr>
            <w:tcW w:w="3783" w:type="dxa"/>
            <w:noWrap w:val="0"/>
            <w:vAlign w:val="center"/>
          </w:tcPr>
          <w:p w14:paraId="4BFA2C6A">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项目建设地点</w:t>
            </w:r>
          </w:p>
        </w:tc>
        <w:tc>
          <w:tcPr>
            <w:tcW w:w="5250" w:type="dxa"/>
            <w:noWrap w:val="0"/>
            <w:vAlign w:val="center"/>
          </w:tcPr>
          <w:p w14:paraId="40C5E26D">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广州市增城区</w:t>
            </w:r>
          </w:p>
        </w:tc>
      </w:tr>
      <w:tr w14:paraId="46CEE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776" w:type="dxa"/>
            <w:noWrap w:val="0"/>
            <w:vAlign w:val="center"/>
          </w:tcPr>
          <w:p w14:paraId="7D3A39DA">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6</w:t>
            </w:r>
          </w:p>
        </w:tc>
        <w:tc>
          <w:tcPr>
            <w:tcW w:w="3783" w:type="dxa"/>
            <w:noWrap w:val="0"/>
            <w:vAlign w:val="center"/>
          </w:tcPr>
          <w:p w14:paraId="782126AD">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前期的设计或咨询服务单位名称</w:t>
            </w:r>
          </w:p>
        </w:tc>
        <w:tc>
          <w:tcPr>
            <w:tcW w:w="5250" w:type="dxa"/>
            <w:noWrap w:val="0"/>
            <w:vAlign w:val="center"/>
          </w:tcPr>
          <w:p w14:paraId="7CA0B2B0">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广州市电力工程设计院有限公司</w:t>
            </w:r>
          </w:p>
        </w:tc>
      </w:tr>
      <w:tr w14:paraId="503EA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2" w:hRule="exact"/>
          <w:jc w:val="center"/>
        </w:trPr>
        <w:tc>
          <w:tcPr>
            <w:tcW w:w="776" w:type="dxa"/>
            <w:noWrap w:val="0"/>
            <w:vAlign w:val="center"/>
          </w:tcPr>
          <w:p w14:paraId="36A14EE2">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7</w:t>
            </w:r>
          </w:p>
        </w:tc>
        <w:tc>
          <w:tcPr>
            <w:tcW w:w="3783" w:type="dxa"/>
            <w:noWrap w:val="0"/>
            <w:vAlign w:val="center"/>
          </w:tcPr>
          <w:p w14:paraId="0196A154">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240" w:lineRule="auto"/>
              <w:jc w:val="center"/>
              <w:textAlignment w:val="auto"/>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工期/服务期</w:t>
            </w:r>
          </w:p>
        </w:tc>
        <w:tc>
          <w:tcPr>
            <w:tcW w:w="5250" w:type="dxa"/>
            <w:noWrap w:val="0"/>
            <w:vAlign w:val="center"/>
          </w:tcPr>
          <w:p w14:paraId="58C4D9AE">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240" w:lineRule="auto"/>
              <w:jc w:val="both"/>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single"/>
                <w:vertAlign w:val="baseline"/>
                <w:lang w:val="en-US" w:eastAsia="zh-CN"/>
              </w:rPr>
              <w:t>合同签订之日起至2026年12月30日，实际工期以开工报告、竣工报告为准。</w:t>
            </w:r>
          </w:p>
        </w:tc>
      </w:tr>
    </w:tbl>
    <w:p w14:paraId="3FA6BEA0">
      <w:pPr>
        <w:pStyle w:val="10"/>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color w:val="auto"/>
          <w:sz w:val="24"/>
          <w:szCs w:val="24"/>
          <w:highlight w:val="none"/>
          <w:u w:val="none"/>
          <w:lang w:val="en-US" w:eastAsia="zh-CN"/>
        </w:rPr>
      </w:pPr>
    </w:p>
    <w:p w14:paraId="7BADE104">
      <w:pPr>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u w:val="none"/>
          <w:lang w:val="en-US" w:eastAsia="zh-CN"/>
        </w:rPr>
        <w:t>一、项目概况</w:t>
      </w:r>
    </w:p>
    <w:p w14:paraId="6F4E298E">
      <w:pPr>
        <w:pStyle w:val="10"/>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480" w:firstLineChars="200"/>
        <w:textAlignment w:val="auto"/>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1、1.110kV中元变电站工程</w:t>
      </w:r>
    </w:p>
    <w:p w14:paraId="2AB62D45">
      <w:pPr>
        <w:pStyle w:val="10"/>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480" w:firstLineChars="200"/>
        <w:textAlignment w:val="auto"/>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本期63MVA主变压器2台，110kV出线2回，10kV出线2×16回，每台主变10kV侧各安装2组6MVar低压并联电容器。</w:t>
      </w:r>
    </w:p>
    <w:p w14:paraId="55DBA742">
      <w:pPr>
        <w:pStyle w:val="10"/>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480" w:firstLineChars="200"/>
        <w:textAlignment w:val="auto"/>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2、对侧变电站扩建工程</w:t>
      </w:r>
    </w:p>
    <w:p w14:paraId="19C96188">
      <w:pPr>
        <w:pStyle w:val="10"/>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480" w:firstLineChars="200"/>
        <w:textAlignment w:val="auto"/>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（1）220kV宁西站改造工程</w:t>
      </w:r>
    </w:p>
    <w:p w14:paraId="5264535B">
      <w:pPr>
        <w:pStyle w:val="10"/>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480" w:firstLineChars="200"/>
        <w:textAlignment w:val="auto"/>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更换对侧220kV宁西站110kV宁中乙线间隔内导线。</w:t>
      </w:r>
    </w:p>
    <w:p w14:paraId="7ACDCF5D">
      <w:pPr>
        <w:pStyle w:val="10"/>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480" w:firstLineChars="200"/>
        <w:textAlignment w:val="auto"/>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3、线路工程</w:t>
      </w:r>
    </w:p>
    <w:p w14:paraId="2827CD40">
      <w:pPr>
        <w:pStyle w:val="10"/>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480" w:firstLineChars="200"/>
        <w:textAlignment w:val="auto"/>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110kV中元变电站本期出线2回。1回T接规划的110kV教育城～凤岗～朱村线路（现110kV朱福线）；1回T接规划的110kV宁西～中新～集丰线路（现110kV宁中乙线）。</w:t>
      </w:r>
    </w:p>
    <w:p w14:paraId="10E64AB2">
      <w:pPr>
        <w:pStyle w:val="10"/>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480" w:firstLineChars="200"/>
        <w:textAlignment w:val="auto"/>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T接规划的110kV教育城～凤岗～朱村线路（现110kV朱福线），新建线路长约1×1.75km，其中架空线路约1×0.05km，电缆线路约1×1.7km。</w:t>
      </w:r>
    </w:p>
    <w:p w14:paraId="2F70CE0A">
      <w:pPr>
        <w:pStyle w:val="10"/>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480" w:firstLineChars="200"/>
        <w:textAlignment w:val="auto"/>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T接规划的110kV宁西～中新～集丰线路（现110kV宁中乙线），新建线路长约1×0.59km，其中架空线路约1×0.5km，电缆线路约1×0.09km。更换原110kV宁中乙线、宁庙甲线#36～#38段双回导线约2×0.7km。</w:t>
      </w:r>
    </w:p>
    <w:p w14:paraId="7BA9497C">
      <w:pPr>
        <w:pStyle w:val="10"/>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480" w:firstLineChars="200"/>
        <w:textAlignment w:val="auto"/>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4、通信工程</w:t>
      </w:r>
    </w:p>
    <w:p w14:paraId="2605B7E0">
      <w:pPr>
        <w:pStyle w:val="10"/>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480" w:firstLineChars="200"/>
        <w:textAlignment w:val="auto"/>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沿110kV中元站至现110kV宁庙甲线光缆T接点，解口团结-集丰24芯光缆，形成中元-团结24芯、中元-集丰24芯路由，新建OPGW光缆路径长度为2×0.5km，新建管道光缆路径长度为2×0.185km（含中元入站光缆）。</w:t>
      </w:r>
    </w:p>
    <w:p w14:paraId="289634D3">
      <w:pPr>
        <w:pStyle w:val="10"/>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480" w:firstLineChars="200"/>
        <w:textAlignment w:val="auto"/>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沿中元站至现朱福线T接点段新建2条48芯光缆，解口中新-凤岗24芯光缆，形成中元-中新24芯、中元-凤岗24芯路由，新建管道光缆长度为2×1.7km（含中元入站光缆），新建OPGW光缆路径长度为2×0.05km。</w:t>
      </w:r>
    </w:p>
    <w:p w14:paraId="5F01D21C">
      <w:pPr>
        <w:pStyle w:val="10"/>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480" w:firstLineChars="200"/>
        <w:textAlignment w:val="auto"/>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本期建设110kV中元变电站站内光纤通信设备及对侧站板卡。</w:t>
      </w:r>
    </w:p>
    <w:p w14:paraId="66190384">
      <w:pPr>
        <w:pStyle w:val="10"/>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482" w:firstLineChars="200"/>
        <w:textAlignment w:val="auto"/>
        <w:rPr>
          <w:rFonts w:hint="default" w:asciiTheme="minorEastAsia" w:hAnsiTheme="minorEastAsia" w:eastAsiaTheme="minorEastAsia" w:cstheme="minorEastAsia"/>
          <w:b/>
          <w:bCs w:val="0"/>
          <w:sz w:val="24"/>
          <w:szCs w:val="24"/>
          <w:highlight w:val="none"/>
          <w:lang w:val="en-US" w:eastAsia="zh-CN"/>
        </w:rPr>
      </w:pPr>
      <w:r>
        <w:rPr>
          <w:rFonts w:hint="default" w:asciiTheme="minorEastAsia" w:hAnsiTheme="minorEastAsia" w:eastAsiaTheme="minorEastAsia" w:cstheme="minorEastAsia"/>
          <w:b/>
          <w:bCs w:val="0"/>
          <w:sz w:val="24"/>
          <w:szCs w:val="24"/>
          <w:highlight w:val="none"/>
          <w:lang w:val="en-US" w:eastAsia="zh-CN"/>
        </w:rPr>
        <w:t>具体建设规模以施工图纸为准。</w:t>
      </w:r>
    </w:p>
    <w:p w14:paraId="517C2D14">
      <w:pPr>
        <w:pStyle w:val="10"/>
        <w:keepNext w:val="0"/>
        <w:keepLines w:val="0"/>
        <w:pageBreakBefore w:val="0"/>
        <w:widowControl w:val="0"/>
        <w:numPr>
          <w:ilvl w:val="0"/>
          <w:numId w:val="0"/>
        </w:numPr>
        <w:kinsoku/>
        <w:wordWrap/>
        <w:overflowPunct/>
        <w:topLinePunct w:val="0"/>
        <w:autoSpaceDE/>
        <w:autoSpaceDN/>
        <w:bidi w:val="0"/>
        <w:adjustRightInd w:val="0"/>
        <w:snapToGrid w:val="0"/>
        <w:spacing w:line="480" w:lineRule="exact"/>
        <w:ind w:firstLine="482" w:firstLineChars="200"/>
        <w:textAlignment w:val="auto"/>
        <w:rPr>
          <w:rFonts w:hint="eastAsia" w:asciiTheme="minorEastAsia" w:hAnsiTheme="minorEastAsia" w:eastAsiaTheme="minorEastAsia" w:cstheme="minorEastAsia"/>
          <w:b/>
          <w:bCs w:val="0"/>
          <w:sz w:val="24"/>
          <w:szCs w:val="24"/>
          <w:highlight w:val="none"/>
          <w:lang w:val="en-US" w:eastAsia="zh-CN"/>
        </w:rPr>
      </w:pPr>
    </w:p>
    <w:p w14:paraId="7F375704">
      <w:pPr>
        <w:keepNext w:val="0"/>
        <w:keepLines w:val="0"/>
        <w:pageBreakBefore w:val="0"/>
        <w:kinsoku/>
        <w:wordWrap/>
        <w:overflowPunct/>
        <w:topLinePunct w:val="0"/>
        <w:autoSpaceDE/>
        <w:autoSpaceDN/>
        <w:bidi w:val="0"/>
        <w:adjustRightInd/>
        <w:snapToGrid/>
        <w:spacing w:before="157" w:beforeLines="50" w:after="157" w:afterLines="50"/>
        <w:textAlignment w:val="auto"/>
        <w:rPr>
          <w:rFonts w:hint="eastAsia" w:asciiTheme="minorEastAsia" w:hAnsiTheme="minorEastAsia" w:eastAsiaTheme="minorEastAsia" w:cstheme="minorEastAsia"/>
          <w:b/>
          <w:bCs/>
          <w:i w:val="0"/>
          <w:iCs/>
          <w:color w:val="auto"/>
          <w:kern w:val="2"/>
          <w:sz w:val="24"/>
          <w:szCs w:val="24"/>
          <w:highlight w:val="none"/>
          <w:u w:val="none"/>
          <w:lang w:val="en-US" w:eastAsia="zh-CN" w:bidi="ar-SA"/>
        </w:rPr>
      </w:pPr>
      <w:r>
        <w:rPr>
          <w:rFonts w:hint="eastAsia" w:asciiTheme="minorEastAsia" w:hAnsiTheme="minorEastAsia" w:eastAsiaTheme="minorEastAsia" w:cstheme="minorEastAsia"/>
          <w:b/>
          <w:bCs/>
          <w:i w:val="0"/>
          <w:color w:val="auto"/>
          <w:kern w:val="2"/>
          <w:sz w:val="24"/>
          <w:szCs w:val="24"/>
          <w:highlight w:val="none"/>
          <w:u w:val="none"/>
          <w:lang w:val="en-US" w:eastAsia="zh-CN" w:bidi="ar-SA"/>
        </w:rPr>
        <w:t>二、招标采购范围</w:t>
      </w:r>
    </w:p>
    <w:p w14:paraId="01C92E3D">
      <w:pPr>
        <w:keepNext w:val="0"/>
        <w:keepLines w:val="0"/>
        <w:pageBreakBefore w:val="0"/>
        <w:widowControl w:val="0"/>
        <w:kinsoku/>
        <w:wordWrap/>
        <w:overflowPunct/>
        <w:topLinePunct w:val="0"/>
        <w:autoSpaceDE/>
        <w:autoSpaceDN/>
        <w:bidi w:val="0"/>
        <w:adjustRightInd/>
        <w:snapToGrid/>
        <w:spacing w:before="157" w:beforeLines="50" w:after="157" w:afterLines="50" w:line="560" w:lineRule="exact"/>
        <w:ind w:firstLine="480" w:firstLineChars="200"/>
        <w:textAlignment w:val="auto"/>
        <w:rPr>
          <w:rFonts w:hint="eastAsia" w:hAnsi="宋体"/>
          <w:color w:val="auto"/>
          <w:sz w:val="24"/>
          <w:szCs w:val="24"/>
          <w:highlight w:val="none"/>
        </w:rPr>
      </w:pPr>
      <w:r>
        <w:rPr>
          <w:rFonts w:hint="eastAsia" w:hAnsi="宋体"/>
          <w:color w:val="auto"/>
          <w:sz w:val="24"/>
          <w:szCs w:val="24"/>
          <w:highlight w:val="none"/>
          <w:u w:val="single"/>
        </w:rPr>
        <w:t>勘察设计、施工准备（含三通一平）、施工（含通信）、竣工结算、缺陷责任期、电子化移交的全过程监理</w:t>
      </w:r>
      <w:r>
        <w:rPr>
          <w:rFonts w:hint="eastAsia" w:hAnsi="宋体"/>
          <w:color w:val="auto"/>
          <w:sz w:val="24"/>
          <w:szCs w:val="24"/>
          <w:highlight w:val="none"/>
          <w:u w:val="single"/>
          <w:lang w:eastAsia="zh-CN"/>
        </w:rPr>
        <w:t>，以及初步设计概算（或施工图预算）中监理计费范围以外但与工程相关的监理工作。</w:t>
      </w:r>
      <w:r>
        <w:rPr>
          <w:rFonts w:hint="eastAsia" w:hAnsi="宋体"/>
          <w:color w:val="auto"/>
          <w:sz w:val="24"/>
          <w:szCs w:val="24"/>
          <w:highlight w:val="none"/>
          <w:u w:val="single"/>
        </w:rPr>
        <w:t>按照建设单位要求使用工程信息管理系统</w:t>
      </w:r>
      <w:r>
        <w:rPr>
          <w:rFonts w:hint="eastAsia" w:hAnsi="宋体"/>
          <w:color w:val="auto"/>
          <w:sz w:val="24"/>
          <w:szCs w:val="24"/>
          <w:highlight w:val="none"/>
        </w:rPr>
        <w:t>。</w:t>
      </w:r>
    </w:p>
    <w:p w14:paraId="6A4609D9">
      <w:pPr>
        <w:pStyle w:val="2"/>
        <w:rPr>
          <w:rFonts w:hint="eastAsia"/>
          <w:lang w:val="en-US" w:eastAsia="zh-CN"/>
        </w:rPr>
      </w:pPr>
    </w:p>
    <w:p w14:paraId="472BB28B">
      <w:pPr>
        <w:pStyle w:val="6"/>
        <w:keepNext w:val="0"/>
        <w:keepLines w:val="0"/>
        <w:pageBreakBefore w:val="0"/>
        <w:numPr>
          <w:ilvl w:val="0"/>
          <w:numId w:val="0"/>
        </w:numPr>
        <w:kinsoku/>
        <w:wordWrap/>
        <w:overflowPunct/>
        <w:topLinePunct w:val="0"/>
        <w:bidi w:val="0"/>
        <w:spacing w:line="360" w:lineRule="auto"/>
        <w:ind w:leftChars="0"/>
        <w:outlineLvl w:val="1"/>
        <w:rPr>
          <w:rFonts w:hint="eastAsia"/>
          <w:highlight w:val="none"/>
          <w:lang w:val="en-US" w:eastAsia="zh-CN"/>
        </w:rPr>
      </w:pPr>
      <w:r>
        <w:rPr>
          <w:rFonts w:hint="eastAsia" w:asciiTheme="minorEastAsia" w:hAnsiTheme="minorEastAsia" w:eastAsiaTheme="minorEastAsia" w:cstheme="minorEastAsia"/>
          <w:b/>
          <w:bCs/>
          <w:i w:val="0"/>
          <w:color w:val="auto"/>
          <w:kern w:val="2"/>
          <w:sz w:val="24"/>
          <w:szCs w:val="24"/>
          <w:highlight w:val="none"/>
          <w:lang w:val="en-US" w:eastAsia="zh-CN" w:bidi="ar-SA"/>
        </w:rPr>
        <w:t>三、报价表</w:t>
      </w:r>
    </w:p>
    <w:p w14:paraId="5F7BA39A">
      <w:pPr>
        <w:rPr>
          <w:rFonts w:hint="eastAsia"/>
          <w:highlight w:val="none"/>
          <w:lang w:val="en-US" w:eastAsia="zh-CN"/>
        </w:rPr>
      </w:pPr>
    </w:p>
    <w:tbl>
      <w:tblPr>
        <w:tblStyle w:val="11"/>
        <w:tblpPr w:leftFromText="180" w:rightFromText="180" w:vertAnchor="text" w:horzAnchor="page" w:tblpX="1629" w:tblpY="46"/>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3"/>
        <w:gridCol w:w="3034"/>
        <w:gridCol w:w="1463"/>
        <w:gridCol w:w="1087"/>
        <w:gridCol w:w="1188"/>
        <w:gridCol w:w="715"/>
      </w:tblGrid>
      <w:tr w14:paraId="085AA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3" w:type="dxa"/>
            <w:tcBorders>
              <w:bottom w:val="single" w:color="auto" w:sz="4" w:space="0"/>
            </w:tcBorders>
            <w:noWrap w:val="0"/>
            <w:vAlign w:val="center"/>
          </w:tcPr>
          <w:p w14:paraId="07EA6911">
            <w:pPr>
              <w:tabs>
                <w:tab w:val="left" w:pos="900"/>
              </w:tabs>
              <w:snapToGrid w:val="0"/>
              <w:ind w:right="-24"/>
              <w:jc w:val="center"/>
              <w:rPr>
                <w:rFonts w:ascii="宋体" w:hAnsi="宋体"/>
                <w:color w:val="auto"/>
                <w:highlight w:val="none"/>
              </w:rPr>
            </w:pPr>
            <w:r>
              <w:rPr>
                <w:rFonts w:hint="eastAsia" w:ascii="宋体" w:hAnsi="宋体"/>
                <w:color w:val="auto"/>
                <w:highlight w:val="none"/>
              </w:rPr>
              <w:t>序号</w:t>
            </w:r>
          </w:p>
        </w:tc>
        <w:tc>
          <w:tcPr>
            <w:tcW w:w="3034" w:type="dxa"/>
            <w:tcBorders>
              <w:bottom w:val="single" w:color="auto" w:sz="4" w:space="0"/>
            </w:tcBorders>
            <w:noWrap w:val="0"/>
            <w:vAlign w:val="center"/>
          </w:tcPr>
          <w:p w14:paraId="4B7991FF">
            <w:pPr>
              <w:tabs>
                <w:tab w:val="left" w:pos="900"/>
              </w:tabs>
              <w:snapToGrid w:val="0"/>
              <w:ind w:left="282" w:right="-24"/>
              <w:jc w:val="center"/>
              <w:rPr>
                <w:rFonts w:ascii="宋体" w:hAnsi="宋体"/>
                <w:color w:val="auto"/>
                <w:highlight w:val="none"/>
              </w:rPr>
            </w:pPr>
            <w:r>
              <w:rPr>
                <w:rFonts w:hint="eastAsia" w:ascii="宋体" w:hAnsi="宋体"/>
                <w:color w:val="auto"/>
                <w:highlight w:val="none"/>
              </w:rPr>
              <w:t>费用名称</w:t>
            </w:r>
          </w:p>
        </w:tc>
        <w:tc>
          <w:tcPr>
            <w:tcW w:w="1463" w:type="dxa"/>
            <w:noWrap w:val="0"/>
            <w:vAlign w:val="top"/>
          </w:tcPr>
          <w:p w14:paraId="4494C671">
            <w:pPr>
              <w:tabs>
                <w:tab w:val="left" w:pos="900"/>
              </w:tabs>
              <w:snapToGrid w:val="0"/>
              <w:spacing w:before="120" w:after="120"/>
              <w:ind w:right="-24"/>
              <w:jc w:val="center"/>
              <w:rPr>
                <w:rFonts w:ascii="宋体" w:hAnsi="宋体"/>
                <w:color w:val="auto"/>
                <w:highlight w:val="none"/>
              </w:rPr>
            </w:pPr>
            <w:r>
              <w:rPr>
                <w:rFonts w:hint="eastAsia" w:ascii="宋体" w:hAnsi="宋体"/>
                <w:color w:val="auto"/>
                <w:highlight w:val="none"/>
              </w:rPr>
              <w:t>最高投标限价(元)</w:t>
            </w:r>
          </w:p>
        </w:tc>
        <w:tc>
          <w:tcPr>
            <w:tcW w:w="1087" w:type="dxa"/>
            <w:tcBorders>
              <w:bottom w:val="single" w:color="auto" w:sz="4" w:space="0"/>
            </w:tcBorders>
            <w:noWrap w:val="0"/>
            <w:vAlign w:val="center"/>
          </w:tcPr>
          <w:p w14:paraId="675C3521">
            <w:pPr>
              <w:tabs>
                <w:tab w:val="left" w:pos="900"/>
              </w:tabs>
              <w:snapToGrid w:val="0"/>
              <w:spacing w:before="120" w:after="120"/>
              <w:ind w:right="-24"/>
              <w:jc w:val="center"/>
              <w:rPr>
                <w:rFonts w:hint="eastAsia" w:ascii="宋体" w:hAnsi="宋体" w:eastAsia="宋体"/>
                <w:b/>
                <w:color w:val="auto"/>
                <w:highlight w:val="none"/>
                <w:lang w:eastAsia="zh-CN"/>
              </w:rPr>
            </w:pPr>
            <w:r>
              <w:rPr>
                <w:rFonts w:hint="eastAsia" w:ascii="宋体" w:hAnsi="宋体"/>
                <w:b w:val="0"/>
                <w:bCs/>
                <w:color w:val="auto"/>
                <w:highlight w:val="none"/>
              </w:rPr>
              <w:t>投标下浮率</w:t>
            </w:r>
          </w:p>
        </w:tc>
        <w:tc>
          <w:tcPr>
            <w:tcW w:w="1188" w:type="dxa"/>
            <w:tcBorders>
              <w:bottom w:val="single" w:color="auto" w:sz="4" w:space="0"/>
            </w:tcBorders>
            <w:noWrap w:val="0"/>
            <w:vAlign w:val="top"/>
          </w:tcPr>
          <w:p w14:paraId="33051CB2">
            <w:pPr>
              <w:tabs>
                <w:tab w:val="left" w:pos="900"/>
              </w:tabs>
              <w:snapToGrid w:val="0"/>
              <w:spacing w:before="120" w:after="120"/>
              <w:ind w:right="-24"/>
              <w:jc w:val="center"/>
              <w:rPr>
                <w:rFonts w:ascii="宋体" w:hAnsi="宋体"/>
                <w:color w:val="auto"/>
                <w:highlight w:val="none"/>
              </w:rPr>
            </w:pPr>
            <w:r>
              <w:rPr>
                <w:rFonts w:hint="eastAsia" w:ascii="宋体" w:hAnsi="宋体" w:cs="宋体"/>
                <w:color w:val="auto"/>
                <w:kern w:val="0"/>
                <w:szCs w:val="21"/>
                <w:highlight w:val="none"/>
                <w:lang w:bidi="ar"/>
              </w:rPr>
              <w:t>投标报价</w:t>
            </w:r>
            <w:r>
              <w:rPr>
                <w:rFonts w:hint="eastAsia" w:ascii="宋体" w:hAnsi="宋体"/>
                <w:color w:val="auto"/>
                <w:highlight w:val="none"/>
              </w:rPr>
              <w:t>(元)</w:t>
            </w:r>
          </w:p>
        </w:tc>
        <w:tc>
          <w:tcPr>
            <w:tcW w:w="715" w:type="dxa"/>
            <w:tcBorders>
              <w:bottom w:val="single" w:color="auto" w:sz="4" w:space="0"/>
            </w:tcBorders>
            <w:noWrap w:val="0"/>
            <w:vAlign w:val="center"/>
          </w:tcPr>
          <w:p w14:paraId="19BC0464">
            <w:pPr>
              <w:tabs>
                <w:tab w:val="left" w:pos="900"/>
              </w:tabs>
              <w:snapToGrid w:val="0"/>
              <w:spacing w:before="120" w:after="120"/>
              <w:ind w:right="-24"/>
              <w:jc w:val="center"/>
              <w:rPr>
                <w:rFonts w:ascii="宋体" w:hAnsi="宋体"/>
                <w:color w:val="auto"/>
                <w:highlight w:val="none"/>
              </w:rPr>
            </w:pPr>
            <w:r>
              <w:rPr>
                <w:rFonts w:hint="eastAsia" w:ascii="宋体" w:hAnsi="宋体"/>
                <w:color w:val="auto"/>
                <w:highlight w:val="none"/>
              </w:rPr>
              <w:t>备注</w:t>
            </w:r>
          </w:p>
        </w:tc>
      </w:tr>
      <w:tr w14:paraId="1F995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3" w:type="dxa"/>
            <w:tcBorders>
              <w:top w:val="single" w:color="auto" w:sz="4" w:space="0"/>
              <w:bottom w:val="nil"/>
            </w:tcBorders>
            <w:noWrap w:val="0"/>
            <w:vAlign w:val="center"/>
          </w:tcPr>
          <w:p w14:paraId="0D5DA93D">
            <w:pPr>
              <w:keepNext w:val="0"/>
              <w:keepLines w:val="0"/>
              <w:widowControl/>
              <w:suppressLineNumbers w:val="0"/>
              <w:jc w:val="center"/>
              <w:textAlignment w:val="center"/>
              <w:rPr>
                <w:rFonts w:hint="eastAsia" w:ascii="宋体" w:hAnsi="宋体" w:eastAsia="宋体" w:cs="Times New Roman"/>
                <w:color w:val="auto"/>
                <w:kern w:val="2"/>
                <w:sz w:val="21"/>
                <w:szCs w:val="22"/>
                <w:highlight w:val="none"/>
                <w:lang w:val="en-US" w:eastAsia="zh-CN" w:bidi="ar-SA"/>
              </w:rPr>
            </w:pPr>
            <w:r>
              <w:rPr>
                <w:rFonts w:hint="eastAsia" w:ascii="宋体" w:hAnsi="宋体" w:eastAsia="宋体" w:cs="宋体"/>
                <w:b/>
                <w:bCs/>
                <w:i w:val="0"/>
                <w:iCs w:val="0"/>
                <w:color w:val="000000"/>
                <w:kern w:val="0"/>
                <w:sz w:val="21"/>
                <w:szCs w:val="21"/>
                <w:u w:val="none"/>
                <w:lang w:val="en-US" w:eastAsia="zh-CN" w:bidi="ar"/>
              </w:rPr>
              <w:t>一</w:t>
            </w:r>
          </w:p>
        </w:tc>
        <w:tc>
          <w:tcPr>
            <w:tcW w:w="3034" w:type="dxa"/>
            <w:tcBorders>
              <w:top w:val="single" w:color="auto" w:sz="4" w:space="0"/>
              <w:bottom w:val="nil"/>
            </w:tcBorders>
            <w:noWrap w:val="0"/>
            <w:vAlign w:val="center"/>
          </w:tcPr>
          <w:p w14:paraId="02916D0F">
            <w:pPr>
              <w:keepNext w:val="0"/>
              <w:keepLines w:val="0"/>
              <w:widowControl/>
              <w:suppressLineNumbers w:val="0"/>
              <w:jc w:val="left"/>
              <w:textAlignment w:val="center"/>
              <w:rPr>
                <w:rFonts w:hint="eastAsia" w:hAnsi="宋体"/>
                <w:color w:val="auto"/>
                <w:highlight w:val="none"/>
                <w:u w:val="none"/>
                <w:lang w:val="en-US" w:eastAsia="zh-CN"/>
              </w:rPr>
            </w:pPr>
            <w:r>
              <w:rPr>
                <w:rFonts w:hint="eastAsia" w:ascii="宋体" w:hAnsi="宋体" w:eastAsia="宋体" w:cs="宋体"/>
                <w:b/>
                <w:bCs/>
                <w:i w:val="0"/>
                <w:iCs w:val="0"/>
                <w:color w:val="000000"/>
                <w:kern w:val="0"/>
                <w:sz w:val="18"/>
                <w:szCs w:val="18"/>
                <w:u w:val="none"/>
                <w:lang w:val="en-US" w:eastAsia="zh-CN" w:bidi="ar"/>
              </w:rPr>
              <w:t>变电工程</w:t>
            </w:r>
          </w:p>
        </w:tc>
        <w:tc>
          <w:tcPr>
            <w:tcW w:w="1463" w:type="dxa"/>
            <w:tcBorders>
              <w:bottom w:val="single" w:color="auto" w:sz="4" w:space="0"/>
            </w:tcBorders>
            <w:noWrap w:val="0"/>
            <w:vAlign w:val="center"/>
          </w:tcPr>
          <w:p w14:paraId="248DD8F5">
            <w:pPr>
              <w:keepNext w:val="0"/>
              <w:keepLines w:val="0"/>
              <w:widowControl/>
              <w:suppressLineNumbers w:val="0"/>
              <w:jc w:val="righ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 xml:space="preserve">1670808.97 </w:t>
            </w:r>
          </w:p>
        </w:tc>
        <w:tc>
          <w:tcPr>
            <w:tcW w:w="1087" w:type="dxa"/>
            <w:vMerge w:val="restart"/>
            <w:noWrap w:val="0"/>
            <w:vAlign w:val="center"/>
          </w:tcPr>
          <w:p w14:paraId="21FFB31A">
            <w:pPr>
              <w:tabs>
                <w:tab w:val="left" w:pos="900"/>
              </w:tabs>
              <w:snapToGrid w:val="0"/>
              <w:spacing w:before="60" w:after="120"/>
              <w:ind w:right="-24"/>
              <w:jc w:val="center"/>
              <w:rPr>
                <w:rFonts w:ascii="宋体" w:hAnsi="宋体"/>
                <w:color w:val="auto"/>
                <w:highlight w:val="none"/>
              </w:rPr>
            </w:pPr>
            <w:r>
              <w:rPr>
                <w:rFonts w:hint="eastAsia" w:ascii="宋体" w:hAnsi="宋体" w:cs="宋体"/>
                <w:color w:val="auto"/>
                <w:kern w:val="0"/>
                <w:szCs w:val="21"/>
                <w:highlight w:val="none"/>
                <w:u w:val="single"/>
                <w:lang w:val="en-US" w:eastAsia="zh-CN"/>
              </w:rPr>
              <w:t xml:space="preserve">   </w:t>
            </w:r>
            <w:r>
              <w:rPr>
                <w:rFonts w:hint="eastAsia" w:ascii="宋体" w:hAnsi="宋体" w:cs="宋体"/>
                <w:color w:val="auto"/>
                <w:kern w:val="0"/>
                <w:szCs w:val="21"/>
                <w:highlight w:val="none"/>
                <w:lang w:val="en-US" w:eastAsia="zh-CN"/>
              </w:rPr>
              <w:t>%</w:t>
            </w:r>
          </w:p>
        </w:tc>
        <w:tc>
          <w:tcPr>
            <w:tcW w:w="1188" w:type="dxa"/>
            <w:tcBorders>
              <w:bottom w:val="single" w:color="auto" w:sz="4" w:space="0"/>
            </w:tcBorders>
            <w:noWrap w:val="0"/>
            <w:vAlign w:val="top"/>
          </w:tcPr>
          <w:p w14:paraId="296406CC">
            <w:pPr>
              <w:tabs>
                <w:tab w:val="left" w:pos="900"/>
              </w:tabs>
              <w:snapToGrid w:val="0"/>
              <w:spacing w:before="60" w:after="120"/>
              <w:ind w:right="-24"/>
              <w:jc w:val="center"/>
              <w:rPr>
                <w:rFonts w:ascii="宋体" w:hAnsi="宋体"/>
                <w:color w:val="auto"/>
                <w:highlight w:val="none"/>
              </w:rPr>
            </w:pPr>
          </w:p>
        </w:tc>
        <w:tc>
          <w:tcPr>
            <w:tcW w:w="715" w:type="dxa"/>
            <w:tcBorders>
              <w:top w:val="single" w:color="auto" w:sz="4" w:space="0"/>
              <w:bottom w:val="nil"/>
            </w:tcBorders>
            <w:noWrap w:val="0"/>
            <w:vAlign w:val="center"/>
          </w:tcPr>
          <w:p w14:paraId="32656706">
            <w:pPr>
              <w:tabs>
                <w:tab w:val="left" w:pos="900"/>
              </w:tabs>
              <w:snapToGrid w:val="0"/>
              <w:spacing w:before="60" w:after="120"/>
              <w:ind w:right="-24"/>
              <w:jc w:val="center"/>
              <w:rPr>
                <w:rFonts w:ascii="宋体" w:hAnsi="宋体"/>
                <w:color w:val="auto"/>
                <w:highlight w:val="none"/>
              </w:rPr>
            </w:pPr>
          </w:p>
        </w:tc>
      </w:tr>
      <w:tr w14:paraId="58731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3" w:type="dxa"/>
            <w:tcBorders>
              <w:top w:val="single" w:color="auto" w:sz="4" w:space="0"/>
              <w:bottom w:val="nil"/>
            </w:tcBorders>
            <w:noWrap w:val="0"/>
            <w:vAlign w:val="center"/>
          </w:tcPr>
          <w:p w14:paraId="16790164">
            <w:pPr>
              <w:keepNext w:val="0"/>
              <w:keepLines w:val="0"/>
              <w:widowControl/>
              <w:suppressLineNumbers w:val="0"/>
              <w:jc w:val="center"/>
              <w:textAlignment w:val="center"/>
              <w:rPr>
                <w:rFonts w:hint="eastAsia" w:ascii="宋体" w:hAnsi="宋体" w:eastAsia="宋体" w:cs="Times New Roman"/>
                <w:color w:val="auto"/>
                <w:kern w:val="2"/>
                <w:sz w:val="21"/>
                <w:szCs w:val="22"/>
                <w:highlight w:val="none"/>
                <w:lang w:val="en-US" w:eastAsia="zh-CN" w:bidi="ar-SA"/>
              </w:rPr>
            </w:pPr>
            <w:r>
              <w:rPr>
                <w:rFonts w:hint="eastAsia" w:ascii="宋体" w:hAnsi="宋体" w:eastAsia="宋体" w:cs="宋体"/>
                <w:i w:val="0"/>
                <w:iCs w:val="0"/>
                <w:color w:val="000000"/>
                <w:kern w:val="0"/>
                <w:sz w:val="21"/>
                <w:szCs w:val="21"/>
                <w:u w:val="none"/>
                <w:lang w:val="en-US" w:eastAsia="zh-CN" w:bidi="ar"/>
              </w:rPr>
              <w:t>1</w:t>
            </w:r>
          </w:p>
        </w:tc>
        <w:tc>
          <w:tcPr>
            <w:tcW w:w="3034" w:type="dxa"/>
            <w:tcBorders>
              <w:top w:val="single" w:color="auto" w:sz="4" w:space="0"/>
              <w:bottom w:val="nil"/>
            </w:tcBorders>
            <w:noWrap w:val="0"/>
            <w:vAlign w:val="center"/>
          </w:tcPr>
          <w:p w14:paraId="7EE3ACC5">
            <w:pPr>
              <w:keepNext w:val="0"/>
              <w:keepLines w:val="0"/>
              <w:widowControl/>
              <w:suppressLineNumbers w:val="0"/>
              <w:jc w:val="both"/>
              <w:textAlignment w:val="center"/>
              <w:rPr>
                <w:rFonts w:hint="eastAsia" w:hAnsi="宋体"/>
                <w:color w:val="auto"/>
                <w:highlight w:val="none"/>
                <w:u w:val="none"/>
                <w:lang w:val="en-US" w:eastAsia="zh-CN"/>
              </w:rPr>
            </w:pPr>
            <w:r>
              <w:rPr>
                <w:rFonts w:hint="eastAsia" w:ascii="宋体" w:hAnsi="宋体" w:eastAsia="宋体" w:cs="宋体"/>
                <w:i w:val="0"/>
                <w:iCs w:val="0"/>
                <w:color w:val="000000"/>
                <w:kern w:val="0"/>
                <w:sz w:val="18"/>
                <w:szCs w:val="18"/>
                <w:u w:val="none"/>
                <w:lang w:val="en-US" w:eastAsia="zh-CN" w:bidi="ar"/>
              </w:rPr>
              <w:t>110kV中元变电站工程</w:t>
            </w:r>
          </w:p>
        </w:tc>
        <w:tc>
          <w:tcPr>
            <w:tcW w:w="1463" w:type="dxa"/>
            <w:tcBorders>
              <w:bottom w:val="single" w:color="auto" w:sz="4" w:space="0"/>
            </w:tcBorders>
            <w:noWrap w:val="0"/>
            <w:vAlign w:val="center"/>
          </w:tcPr>
          <w:p w14:paraId="479C8EBC">
            <w:pPr>
              <w:keepNext w:val="0"/>
              <w:keepLines w:val="0"/>
              <w:widowControl/>
              <w:suppressLineNumbers w:val="0"/>
              <w:jc w:val="righ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1670248.79 </w:t>
            </w:r>
          </w:p>
        </w:tc>
        <w:tc>
          <w:tcPr>
            <w:tcW w:w="1087" w:type="dxa"/>
            <w:vMerge w:val="continue"/>
            <w:noWrap w:val="0"/>
            <w:vAlign w:val="center"/>
          </w:tcPr>
          <w:p w14:paraId="00AC8CE2">
            <w:pPr>
              <w:tabs>
                <w:tab w:val="left" w:pos="900"/>
              </w:tabs>
              <w:snapToGrid w:val="0"/>
              <w:spacing w:before="60" w:after="120"/>
              <w:ind w:right="-24"/>
              <w:jc w:val="center"/>
              <w:rPr>
                <w:rFonts w:ascii="宋体" w:hAnsi="宋体"/>
                <w:color w:val="auto"/>
                <w:highlight w:val="none"/>
              </w:rPr>
            </w:pPr>
          </w:p>
        </w:tc>
        <w:tc>
          <w:tcPr>
            <w:tcW w:w="1188" w:type="dxa"/>
            <w:tcBorders>
              <w:bottom w:val="single" w:color="auto" w:sz="4" w:space="0"/>
            </w:tcBorders>
            <w:noWrap w:val="0"/>
            <w:vAlign w:val="top"/>
          </w:tcPr>
          <w:p w14:paraId="7DE1A37A">
            <w:pPr>
              <w:tabs>
                <w:tab w:val="left" w:pos="900"/>
              </w:tabs>
              <w:snapToGrid w:val="0"/>
              <w:spacing w:before="60" w:after="120"/>
              <w:ind w:right="-24"/>
              <w:jc w:val="center"/>
              <w:rPr>
                <w:rFonts w:ascii="宋体" w:hAnsi="宋体"/>
                <w:color w:val="auto"/>
                <w:highlight w:val="none"/>
              </w:rPr>
            </w:pPr>
          </w:p>
        </w:tc>
        <w:tc>
          <w:tcPr>
            <w:tcW w:w="715" w:type="dxa"/>
            <w:tcBorders>
              <w:top w:val="single" w:color="auto" w:sz="4" w:space="0"/>
              <w:bottom w:val="nil"/>
            </w:tcBorders>
            <w:noWrap w:val="0"/>
            <w:vAlign w:val="center"/>
          </w:tcPr>
          <w:p w14:paraId="498EB9A5">
            <w:pPr>
              <w:tabs>
                <w:tab w:val="left" w:pos="900"/>
              </w:tabs>
              <w:snapToGrid w:val="0"/>
              <w:spacing w:before="60" w:after="120"/>
              <w:ind w:right="-24"/>
              <w:jc w:val="center"/>
              <w:rPr>
                <w:rFonts w:ascii="宋体" w:hAnsi="宋体"/>
                <w:color w:val="auto"/>
                <w:highlight w:val="none"/>
              </w:rPr>
            </w:pPr>
          </w:p>
        </w:tc>
      </w:tr>
      <w:tr w14:paraId="0D68F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3" w:type="dxa"/>
            <w:tcBorders>
              <w:top w:val="single" w:color="auto" w:sz="4" w:space="0"/>
              <w:bottom w:val="nil"/>
            </w:tcBorders>
            <w:noWrap w:val="0"/>
            <w:vAlign w:val="center"/>
          </w:tcPr>
          <w:p w14:paraId="7CAEABD9">
            <w:pPr>
              <w:keepNext w:val="0"/>
              <w:keepLines w:val="0"/>
              <w:widowControl/>
              <w:suppressLineNumbers w:val="0"/>
              <w:jc w:val="center"/>
              <w:textAlignment w:val="center"/>
              <w:rPr>
                <w:rFonts w:hint="eastAsia" w:ascii="宋体" w:hAnsi="宋体" w:eastAsia="宋体" w:cs="Times New Roman"/>
                <w:color w:val="auto"/>
                <w:kern w:val="2"/>
                <w:sz w:val="21"/>
                <w:szCs w:val="22"/>
                <w:highlight w:val="none"/>
                <w:lang w:val="en-US" w:eastAsia="zh-CN" w:bidi="ar-SA"/>
              </w:rPr>
            </w:pPr>
            <w:r>
              <w:rPr>
                <w:rFonts w:hint="eastAsia" w:ascii="宋体" w:hAnsi="宋体" w:eastAsia="宋体" w:cs="宋体"/>
                <w:i w:val="0"/>
                <w:iCs w:val="0"/>
                <w:color w:val="000000"/>
                <w:kern w:val="0"/>
                <w:sz w:val="21"/>
                <w:szCs w:val="21"/>
                <w:u w:val="none"/>
                <w:lang w:val="en-US" w:eastAsia="zh-CN" w:bidi="ar"/>
              </w:rPr>
              <w:t>2</w:t>
            </w:r>
          </w:p>
        </w:tc>
        <w:tc>
          <w:tcPr>
            <w:tcW w:w="3034" w:type="dxa"/>
            <w:tcBorders>
              <w:top w:val="single" w:color="auto" w:sz="4" w:space="0"/>
              <w:bottom w:val="nil"/>
            </w:tcBorders>
            <w:noWrap w:val="0"/>
            <w:vAlign w:val="center"/>
          </w:tcPr>
          <w:p w14:paraId="3EC328EE">
            <w:pPr>
              <w:keepNext w:val="0"/>
              <w:keepLines w:val="0"/>
              <w:widowControl/>
              <w:suppressLineNumbers w:val="0"/>
              <w:jc w:val="both"/>
              <w:textAlignment w:val="center"/>
              <w:rPr>
                <w:rFonts w:hint="eastAsia" w:hAnsi="宋体"/>
                <w:color w:val="auto"/>
                <w:highlight w:val="none"/>
                <w:u w:val="none"/>
                <w:lang w:val="en-US" w:eastAsia="zh-CN"/>
              </w:rPr>
            </w:pPr>
            <w:r>
              <w:rPr>
                <w:rFonts w:hint="eastAsia" w:ascii="宋体" w:hAnsi="宋体" w:eastAsia="宋体" w:cs="宋体"/>
                <w:i w:val="0"/>
                <w:iCs w:val="0"/>
                <w:color w:val="000000"/>
                <w:kern w:val="0"/>
                <w:sz w:val="18"/>
                <w:szCs w:val="18"/>
                <w:u w:val="none"/>
                <w:lang w:val="en-US" w:eastAsia="zh-CN" w:bidi="ar"/>
              </w:rPr>
              <w:t>220kV宁西变电站扩建工程</w:t>
            </w:r>
          </w:p>
        </w:tc>
        <w:tc>
          <w:tcPr>
            <w:tcW w:w="1463" w:type="dxa"/>
            <w:tcBorders>
              <w:bottom w:val="single" w:color="auto" w:sz="4" w:space="0"/>
            </w:tcBorders>
            <w:noWrap w:val="0"/>
            <w:vAlign w:val="center"/>
          </w:tcPr>
          <w:p w14:paraId="0CBA3916">
            <w:pPr>
              <w:keepNext w:val="0"/>
              <w:keepLines w:val="0"/>
              <w:widowControl/>
              <w:suppressLineNumbers w:val="0"/>
              <w:jc w:val="righ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560.18 </w:t>
            </w:r>
          </w:p>
        </w:tc>
        <w:tc>
          <w:tcPr>
            <w:tcW w:w="1087" w:type="dxa"/>
            <w:vMerge w:val="continue"/>
            <w:noWrap w:val="0"/>
            <w:vAlign w:val="center"/>
          </w:tcPr>
          <w:p w14:paraId="4A037137">
            <w:pPr>
              <w:tabs>
                <w:tab w:val="left" w:pos="900"/>
              </w:tabs>
              <w:snapToGrid w:val="0"/>
              <w:spacing w:before="60" w:after="120"/>
              <w:ind w:right="-24"/>
              <w:jc w:val="center"/>
              <w:rPr>
                <w:rFonts w:ascii="宋体" w:hAnsi="宋体"/>
                <w:color w:val="auto"/>
                <w:highlight w:val="none"/>
              </w:rPr>
            </w:pPr>
          </w:p>
        </w:tc>
        <w:tc>
          <w:tcPr>
            <w:tcW w:w="1188" w:type="dxa"/>
            <w:tcBorders>
              <w:bottom w:val="single" w:color="auto" w:sz="4" w:space="0"/>
            </w:tcBorders>
            <w:noWrap w:val="0"/>
            <w:vAlign w:val="top"/>
          </w:tcPr>
          <w:p w14:paraId="43E93042">
            <w:pPr>
              <w:tabs>
                <w:tab w:val="left" w:pos="900"/>
              </w:tabs>
              <w:snapToGrid w:val="0"/>
              <w:spacing w:before="60" w:after="120"/>
              <w:ind w:right="-24"/>
              <w:jc w:val="center"/>
              <w:rPr>
                <w:rFonts w:ascii="宋体" w:hAnsi="宋体"/>
                <w:color w:val="auto"/>
                <w:highlight w:val="none"/>
              </w:rPr>
            </w:pPr>
          </w:p>
        </w:tc>
        <w:tc>
          <w:tcPr>
            <w:tcW w:w="715" w:type="dxa"/>
            <w:tcBorders>
              <w:top w:val="single" w:color="auto" w:sz="4" w:space="0"/>
              <w:bottom w:val="nil"/>
            </w:tcBorders>
            <w:noWrap w:val="0"/>
            <w:vAlign w:val="center"/>
          </w:tcPr>
          <w:p w14:paraId="5AA8AA26">
            <w:pPr>
              <w:tabs>
                <w:tab w:val="left" w:pos="900"/>
              </w:tabs>
              <w:snapToGrid w:val="0"/>
              <w:spacing w:before="60" w:after="120"/>
              <w:ind w:right="-24"/>
              <w:jc w:val="center"/>
              <w:rPr>
                <w:rFonts w:ascii="宋体" w:hAnsi="宋体"/>
                <w:color w:val="auto"/>
                <w:highlight w:val="none"/>
              </w:rPr>
            </w:pPr>
          </w:p>
        </w:tc>
      </w:tr>
      <w:tr w14:paraId="0E73F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3" w:type="dxa"/>
            <w:tcBorders>
              <w:top w:val="single" w:color="auto" w:sz="4" w:space="0"/>
              <w:bottom w:val="nil"/>
            </w:tcBorders>
            <w:noWrap w:val="0"/>
            <w:vAlign w:val="center"/>
          </w:tcPr>
          <w:p w14:paraId="0DB72809">
            <w:pPr>
              <w:keepNext w:val="0"/>
              <w:keepLines w:val="0"/>
              <w:widowControl/>
              <w:suppressLineNumbers w:val="0"/>
              <w:jc w:val="center"/>
              <w:textAlignment w:val="center"/>
              <w:rPr>
                <w:rFonts w:hint="eastAsia" w:ascii="宋体" w:hAnsi="宋体" w:eastAsia="宋体" w:cs="Times New Roman"/>
                <w:color w:val="auto"/>
                <w:kern w:val="2"/>
                <w:sz w:val="21"/>
                <w:szCs w:val="22"/>
                <w:highlight w:val="none"/>
                <w:lang w:val="en-US" w:eastAsia="zh-CN" w:bidi="ar-SA"/>
              </w:rPr>
            </w:pPr>
            <w:r>
              <w:rPr>
                <w:rFonts w:hint="eastAsia" w:ascii="宋体" w:hAnsi="宋体" w:eastAsia="宋体" w:cs="宋体"/>
                <w:b/>
                <w:bCs/>
                <w:i w:val="0"/>
                <w:iCs w:val="0"/>
                <w:color w:val="000000"/>
                <w:kern w:val="0"/>
                <w:sz w:val="21"/>
                <w:szCs w:val="21"/>
                <w:u w:val="none"/>
                <w:lang w:val="en-US" w:eastAsia="zh-CN" w:bidi="ar"/>
              </w:rPr>
              <w:t>二</w:t>
            </w:r>
          </w:p>
        </w:tc>
        <w:tc>
          <w:tcPr>
            <w:tcW w:w="3034" w:type="dxa"/>
            <w:tcBorders>
              <w:top w:val="single" w:color="auto" w:sz="4" w:space="0"/>
              <w:bottom w:val="nil"/>
            </w:tcBorders>
            <w:noWrap w:val="0"/>
            <w:vAlign w:val="center"/>
          </w:tcPr>
          <w:p w14:paraId="6558C454">
            <w:pPr>
              <w:keepNext w:val="0"/>
              <w:keepLines w:val="0"/>
              <w:widowControl/>
              <w:suppressLineNumbers w:val="0"/>
              <w:jc w:val="left"/>
              <w:textAlignment w:val="center"/>
              <w:rPr>
                <w:rFonts w:hint="eastAsia" w:hAnsi="宋体"/>
                <w:color w:val="auto"/>
                <w:highlight w:val="none"/>
                <w:u w:val="none"/>
                <w:lang w:val="en-US" w:eastAsia="zh-CN"/>
              </w:rPr>
            </w:pPr>
            <w:r>
              <w:rPr>
                <w:rFonts w:hint="eastAsia" w:ascii="宋体" w:hAnsi="宋体" w:eastAsia="宋体" w:cs="宋体"/>
                <w:b/>
                <w:bCs/>
                <w:i w:val="0"/>
                <w:iCs w:val="0"/>
                <w:color w:val="000000"/>
                <w:kern w:val="0"/>
                <w:sz w:val="18"/>
                <w:szCs w:val="18"/>
                <w:u w:val="none"/>
                <w:lang w:val="en-US" w:eastAsia="zh-CN" w:bidi="ar"/>
              </w:rPr>
              <w:t>110kV线路工程</w:t>
            </w:r>
          </w:p>
        </w:tc>
        <w:tc>
          <w:tcPr>
            <w:tcW w:w="1463" w:type="dxa"/>
            <w:tcBorders>
              <w:bottom w:val="single" w:color="auto" w:sz="4" w:space="0"/>
            </w:tcBorders>
            <w:noWrap w:val="0"/>
            <w:vAlign w:val="center"/>
          </w:tcPr>
          <w:p w14:paraId="2B094FC7">
            <w:pPr>
              <w:keepNext w:val="0"/>
              <w:keepLines w:val="0"/>
              <w:widowControl/>
              <w:suppressLineNumbers w:val="0"/>
              <w:jc w:val="righ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 xml:space="preserve">261059.93 </w:t>
            </w:r>
          </w:p>
        </w:tc>
        <w:tc>
          <w:tcPr>
            <w:tcW w:w="1087" w:type="dxa"/>
            <w:vMerge w:val="continue"/>
            <w:noWrap w:val="0"/>
            <w:vAlign w:val="center"/>
          </w:tcPr>
          <w:p w14:paraId="77C5CE45">
            <w:pPr>
              <w:tabs>
                <w:tab w:val="left" w:pos="900"/>
              </w:tabs>
              <w:snapToGrid w:val="0"/>
              <w:spacing w:before="60" w:after="120"/>
              <w:ind w:right="-24"/>
              <w:jc w:val="center"/>
              <w:rPr>
                <w:rFonts w:ascii="宋体" w:hAnsi="宋体"/>
                <w:color w:val="auto"/>
                <w:highlight w:val="none"/>
              </w:rPr>
            </w:pPr>
          </w:p>
        </w:tc>
        <w:tc>
          <w:tcPr>
            <w:tcW w:w="1188" w:type="dxa"/>
            <w:tcBorders>
              <w:bottom w:val="single" w:color="auto" w:sz="4" w:space="0"/>
            </w:tcBorders>
            <w:noWrap w:val="0"/>
            <w:vAlign w:val="top"/>
          </w:tcPr>
          <w:p w14:paraId="45D95695">
            <w:pPr>
              <w:tabs>
                <w:tab w:val="left" w:pos="900"/>
              </w:tabs>
              <w:snapToGrid w:val="0"/>
              <w:spacing w:before="60" w:after="120"/>
              <w:ind w:right="-24"/>
              <w:jc w:val="center"/>
              <w:rPr>
                <w:rFonts w:ascii="宋体" w:hAnsi="宋体"/>
                <w:color w:val="auto"/>
                <w:highlight w:val="none"/>
              </w:rPr>
            </w:pPr>
          </w:p>
        </w:tc>
        <w:tc>
          <w:tcPr>
            <w:tcW w:w="715" w:type="dxa"/>
            <w:tcBorders>
              <w:top w:val="single" w:color="auto" w:sz="4" w:space="0"/>
              <w:bottom w:val="nil"/>
            </w:tcBorders>
            <w:noWrap w:val="0"/>
            <w:vAlign w:val="center"/>
          </w:tcPr>
          <w:p w14:paraId="7F0BF00E">
            <w:pPr>
              <w:tabs>
                <w:tab w:val="left" w:pos="900"/>
              </w:tabs>
              <w:snapToGrid w:val="0"/>
              <w:spacing w:before="60" w:after="120"/>
              <w:ind w:right="-24"/>
              <w:jc w:val="center"/>
              <w:rPr>
                <w:rFonts w:ascii="宋体" w:hAnsi="宋体"/>
                <w:color w:val="auto"/>
                <w:highlight w:val="none"/>
              </w:rPr>
            </w:pPr>
          </w:p>
        </w:tc>
      </w:tr>
      <w:tr w14:paraId="438D1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3" w:type="dxa"/>
            <w:tcBorders>
              <w:top w:val="single" w:color="auto" w:sz="4" w:space="0"/>
              <w:bottom w:val="nil"/>
            </w:tcBorders>
            <w:noWrap w:val="0"/>
            <w:vAlign w:val="center"/>
          </w:tcPr>
          <w:p w14:paraId="45BF31C2">
            <w:pPr>
              <w:keepNext w:val="0"/>
              <w:keepLines w:val="0"/>
              <w:widowControl/>
              <w:suppressLineNumbers w:val="0"/>
              <w:jc w:val="center"/>
              <w:textAlignment w:val="center"/>
              <w:rPr>
                <w:rFonts w:hint="eastAsia" w:ascii="宋体" w:hAnsi="宋体" w:eastAsia="宋体" w:cs="Times New Roman"/>
                <w:color w:val="auto"/>
                <w:kern w:val="2"/>
                <w:sz w:val="21"/>
                <w:szCs w:val="22"/>
                <w:highlight w:val="none"/>
                <w:lang w:val="en-US" w:eastAsia="zh-CN" w:bidi="ar-SA"/>
              </w:rPr>
            </w:pPr>
            <w:r>
              <w:rPr>
                <w:rFonts w:hint="eastAsia" w:ascii="宋体" w:hAnsi="宋体" w:eastAsia="宋体" w:cs="宋体"/>
                <w:i w:val="0"/>
                <w:iCs w:val="0"/>
                <w:color w:val="000000"/>
                <w:kern w:val="0"/>
                <w:sz w:val="21"/>
                <w:szCs w:val="21"/>
                <w:u w:val="none"/>
                <w:lang w:val="en-US" w:eastAsia="zh-CN" w:bidi="ar"/>
              </w:rPr>
              <w:t>1</w:t>
            </w:r>
          </w:p>
        </w:tc>
        <w:tc>
          <w:tcPr>
            <w:tcW w:w="3034" w:type="dxa"/>
            <w:tcBorders>
              <w:top w:val="single" w:color="auto" w:sz="4" w:space="0"/>
              <w:bottom w:val="nil"/>
            </w:tcBorders>
            <w:noWrap w:val="0"/>
            <w:vAlign w:val="center"/>
          </w:tcPr>
          <w:p w14:paraId="18966638">
            <w:pPr>
              <w:keepNext w:val="0"/>
              <w:keepLines w:val="0"/>
              <w:widowControl/>
              <w:suppressLineNumbers w:val="0"/>
              <w:jc w:val="left"/>
              <w:textAlignment w:val="center"/>
              <w:rPr>
                <w:rFonts w:hint="eastAsia" w:hAnsi="宋体"/>
                <w:color w:val="auto"/>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中元站#1主变～T接110kV朱福线（电缆线路）</w:t>
            </w:r>
          </w:p>
        </w:tc>
        <w:tc>
          <w:tcPr>
            <w:tcW w:w="1463" w:type="dxa"/>
            <w:tcBorders>
              <w:bottom w:val="single" w:color="auto" w:sz="4" w:space="0"/>
            </w:tcBorders>
            <w:noWrap w:val="0"/>
            <w:vAlign w:val="center"/>
          </w:tcPr>
          <w:p w14:paraId="215277E8">
            <w:pPr>
              <w:keepNext w:val="0"/>
              <w:keepLines w:val="0"/>
              <w:widowControl/>
              <w:suppressLineNumbers w:val="0"/>
              <w:jc w:val="righ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127589.40 </w:t>
            </w:r>
          </w:p>
        </w:tc>
        <w:tc>
          <w:tcPr>
            <w:tcW w:w="1087" w:type="dxa"/>
            <w:vMerge w:val="continue"/>
            <w:noWrap w:val="0"/>
            <w:vAlign w:val="center"/>
          </w:tcPr>
          <w:p w14:paraId="496F7C90">
            <w:pPr>
              <w:tabs>
                <w:tab w:val="left" w:pos="900"/>
              </w:tabs>
              <w:snapToGrid w:val="0"/>
              <w:spacing w:before="60" w:after="120"/>
              <w:ind w:right="-24"/>
              <w:jc w:val="center"/>
              <w:rPr>
                <w:rFonts w:ascii="宋体" w:hAnsi="宋体"/>
                <w:color w:val="auto"/>
                <w:highlight w:val="none"/>
              </w:rPr>
            </w:pPr>
          </w:p>
        </w:tc>
        <w:tc>
          <w:tcPr>
            <w:tcW w:w="1188" w:type="dxa"/>
            <w:tcBorders>
              <w:bottom w:val="single" w:color="auto" w:sz="4" w:space="0"/>
            </w:tcBorders>
            <w:noWrap w:val="0"/>
            <w:vAlign w:val="top"/>
          </w:tcPr>
          <w:p w14:paraId="0891D911">
            <w:pPr>
              <w:tabs>
                <w:tab w:val="left" w:pos="900"/>
              </w:tabs>
              <w:snapToGrid w:val="0"/>
              <w:spacing w:before="60" w:after="120"/>
              <w:ind w:right="-24"/>
              <w:jc w:val="center"/>
              <w:rPr>
                <w:rFonts w:ascii="宋体" w:hAnsi="宋体"/>
                <w:color w:val="auto"/>
                <w:highlight w:val="none"/>
              </w:rPr>
            </w:pPr>
          </w:p>
        </w:tc>
        <w:tc>
          <w:tcPr>
            <w:tcW w:w="715" w:type="dxa"/>
            <w:tcBorders>
              <w:top w:val="single" w:color="auto" w:sz="4" w:space="0"/>
              <w:bottom w:val="nil"/>
            </w:tcBorders>
            <w:noWrap w:val="0"/>
            <w:vAlign w:val="center"/>
          </w:tcPr>
          <w:p w14:paraId="681686A5">
            <w:pPr>
              <w:tabs>
                <w:tab w:val="left" w:pos="900"/>
              </w:tabs>
              <w:snapToGrid w:val="0"/>
              <w:spacing w:before="60" w:after="120"/>
              <w:ind w:right="-24"/>
              <w:jc w:val="center"/>
              <w:rPr>
                <w:rFonts w:ascii="宋体" w:hAnsi="宋体"/>
                <w:color w:val="auto"/>
                <w:highlight w:val="none"/>
              </w:rPr>
            </w:pPr>
          </w:p>
        </w:tc>
      </w:tr>
      <w:tr w14:paraId="370D2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3" w:type="dxa"/>
            <w:tcBorders>
              <w:top w:val="single" w:color="auto" w:sz="4" w:space="0"/>
              <w:bottom w:val="nil"/>
            </w:tcBorders>
            <w:noWrap w:val="0"/>
            <w:vAlign w:val="center"/>
          </w:tcPr>
          <w:p w14:paraId="35ACBEA6">
            <w:pPr>
              <w:keepNext w:val="0"/>
              <w:keepLines w:val="0"/>
              <w:widowControl/>
              <w:suppressLineNumbers w:val="0"/>
              <w:jc w:val="center"/>
              <w:textAlignment w:val="center"/>
              <w:rPr>
                <w:rFonts w:hint="eastAsia" w:ascii="宋体" w:hAnsi="宋体" w:eastAsia="宋体" w:cs="Times New Roman"/>
                <w:color w:val="auto"/>
                <w:kern w:val="2"/>
                <w:sz w:val="21"/>
                <w:szCs w:val="22"/>
                <w:highlight w:val="none"/>
                <w:lang w:val="en-US" w:eastAsia="zh-CN" w:bidi="ar-SA"/>
              </w:rPr>
            </w:pPr>
            <w:r>
              <w:rPr>
                <w:rFonts w:hint="eastAsia" w:ascii="宋体" w:hAnsi="宋体" w:eastAsia="宋体" w:cs="宋体"/>
                <w:i w:val="0"/>
                <w:iCs w:val="0"/>
                <w:color w:val="000000"/>
                <w:kern w:val="0"/>
                <w:sz w:val="21"/>
                <w:szCs w:val="21"/>
                <w:u w:val="none"/>
                <w:lang w:val="en-US" w:eastAsia="zh-CN" w:bidi="ar"/>
              </w:rPr>
              <w:t>2</w:t>
            </w:r>
          </w:p>
        </w:tc>
        <w:tc>
          <w:tcPr>
            <w:tcW w:w="3034" w:type="dxa"/>
            <w:tcBorders>
              <w:top w:val="single" w:color="auto" w:sz="4" w:space="0"/>
              <w:bottom w:val="nil"/>
            </w:tcBorders>
            <w:noWrap w:val="0"/>
            <w:vAlign w:val="center"/>
          </w:tcPr>
          <w:p w14:paraId="1AEB26B6">
            <w:pPr>
              <w:keepNext w:val="0"/>
              <w:keepLines w:val="0"/>
              <w:widowControl/>
              <w:suppressLineNumbers w:val="0"/>
              <w:jc w:val="left"/>
              <w:textAlignment w:val="center"/>
              <w:rPr>
                <w:rFonts w:hint="eastAsia" w:hAnsi="宋体"/>
                <w:color w:val="auto"/>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中元站#2主变～T接110kV宁中乙线（电缆线路）</w:t>
            </w:r>
          </w:p>
        </w:tc>
        <w:tc>
          <w:tcPr>
            <w:tcW w:w="1463" w:type="dxa"/>
            <w:tcBorders>
              <w:bottom w:val="single" w:color="auto" w:sz="4" w:space="0"/>
            </w:tcBorders>
            <w:noWrap w:val="0"/>
            <w:vAlign w:val="center"/>
          </w:tcPr>
          <w:p w14:paraId="6525E156">
            <w:pPr>
              <w:keepNext w:val="0"/>
              <w:keepLines w:val="0"/>
              <w:widowControl/>
              <w:suppressLineNumbers w:val="0"/>
              <w:jc w:val="righ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46334.53 </w:t>
            </w:r>
          </w:p>
        </w:tc>
        <w:tc>
          <w:tcPr>
            <w:tcW w:w="1087" w:type="dxa"/>
            <w:vMerge w:val="continue"/>
            <w:noWrap w:val="0"/>
            <w:vAlign w:val="center"/>
          </w:tcPr>
          <w:p w14:paraId="32D79683">
            <w:pPr>
              <w:tabs>
                <w:tab w:val="left" w:pos="900"/>
              </w:tabs>
              <w:snapToGrid w:val="0"/>
              <w:spacing w:before="60" w:after="120"/>
              <w:ind w:right="-24"/>
              <w:jc w:val="center"/>
              <w:rPr>
                <w:rFonts w:ascii="宋体" w:hAnsi="宋体"/>
                <w:color w:val="auto"/>
                <w:highlight w:val="none"/>
              </w:rPr>
            </w:pPr>
          </w:p>
        </w:tc>
        <w:tc>
          <w:tcPr>
            <w:tcW w:w="1188" w:type="dxa"/>
            <w:tcBorders>
              <w:bottom w:val="single" w:color="auto" w:sz="4" w:space="0"/>
            </w:tcBorders>
            <w:noWrap w:val="0"/>
            <w:vAlign w:val="top"/>
          </w:tcPr>
          <w:p w14:paraId="6A7E8402">
            <w:pPr>
              <w:tabs>
                <w:tab w:val="left" w:pos="900"/>
              </w:tabs>
              <w:snapToGrid w:val="0"/>
              <w:spacing w:before="60" w:after="120"/>
              <w:ind w:right="-24"/>
              <w:jc w:val="center"/>
              <w:rPr>
                <w:rFonts w:ascii="宋体" w:hAnsi="宋体"/>
                <w:color w:val="auto"/>
                <w:highlight w:val="none"/>
              </w:rPr>
            </w:pPr>
          </w:p>
        </w:tc>
        <w:tc>
          <w:tcPr>
            <w:tcW w:w="715" w:type="dxa"/>
            <w:tcBorders>
              <w:top w:val="single" w:color="auto" w:sz="4" w:space="0"/>
              <w:bottom w:val="nil"/>
            </w:tcBorders>
            <w:noWrap w:val="0"/>
            <w:vAlign w:val="center"/>
          </w:tcPr>
          <w:p w14:paraId="456F1953">
            <w:pPr>
              <w:tabs>
                <w:tab w:val="left" w:pos="900"/>
              </w:tabs>
              <w:snapToGrid w:val="0"/>
              <w:spacing w:before="60" w:after="120"/>
              <w:ind w:right="-24"/>
              <w:jc w:val="center"/>
              <w:rPr>
                <w:rFonts w:ascii="宋体" w:hAnsi="宋体"/>
                <w:color w:val="auto"/>
                <w:highlight w:val="none"/>
              </w:rPr>
            </w:pPr>
          </w:p>
        </w:tc>
      </w:tr>
      <w:tr w14:paraId="2C9C5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3" w:type="dxa"/>
            <w:tcBorders>
              <w:top w:val="single" w:color="auto" w:sz="4" w:space="0"/>
              <w:bottom w:val="nil"/>
            </w:tcBorders>
            <w:noWrap w:val="0"/>
            <w:vAlign w:val="center"/>
          </w:tcPr>
          <w:p w14:paraId="1C898243">
            <w:pPr>
              <w:keepNext w:val="0"/>
              <w:keepLines w:val="0"/>
              <w:widowControl/>
              <w:suppressLineNumbers w:val="0"/>
              <w:jc w:val="center"/>
              <w:textAlignment w:val="center"/>
              <w:rPr>
                <w:rFonts w:hint="eastAsia" w:ascii="宋体" w:hAnsi="宋体" w:eastAsia="宋体" w:cs="Times New Roman"/>
                <w:color w:val="auto"/>
                <w:kern w:val="2"/>
                <w:sz w:val="21"/>
                <w:szCs w:val="22"/>
                <w:highlight w:val="none"/>
                <w:lang w:val="en-US" w:eastAsia="zh-CN" w:bidi="ar-SA"/>
              </w:rPr>
            </w:pPr>
            <w:r>
              <w:rPr>
                <w:rFonts w:hint="eastAsia" w:ascii="宋体" w:hAnsi="宋体" w:eastAsia="宋体" w:cs="宋体"/>
                <w:i w:val="0"/>
                <w:iCs w:val="0"/>
                <w:color w:val="000000"/>
                <w:kern w:val="0"/>
                <w:sz w:val="21"/>
                <w:szCs w:val="21"/>
                <w:u w:val="none"/>
                <w:lang w:val="en-US" w:eastAsia="zh-CN" w:bidi="ar"/>
              </w:rPr>
              <w:t>3</w:t>
            </w:r>
          </w:p>
        </w:tc>
        <w:tc>
          <w:tcPr>
            <w:tcW w:w="3034" w:type="dxa"/>
            <w:tcBorders>
              <w:top w:val="single" w:color="auto" w:sz="4" w:space="0"/>
              <w:bottom w:val="nil"/>
            </w:tcBorders>
            <w:noWrap w:val="0"/>
            <w:vAlign w:val="center"/>
          </w:tcPr>
          <w:p w14:paraId="5E5FBB1B">
            <w:pPr>
              <w:keepNext w:val="0"/>
              <w:keepLines w:val="0"/>
              <w:widowControl/>
              <w:suppressLineNumbers w:val="0"/>
              <w:jc w:val="left"/>
              <w:textAlignment w:val="center"/>
              <w:rPr>
                <w:rFonts w:hint="eastAsia" w:hAnsi="宋体"/>
                <w:color w:val="auto"/>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中元站#1主变～T接110kV朱福线（架空线路）</w:t>
            </w:r>
          </w:p>
        </w:tc>
        <w:tc>
          <w:tcPr>
            <w:tcW w:w="1463" w:type="dxa"/>
            <w:tcBorders>
              <w:bottom w:val="single" w:color="auto" w:sz="4" w:space="0"/>
            </w:tcBorders>
            <w:noWrap w:val="0"/>
            <w:vAlign w:val="center"/>
          </w:tcPr>
          <w:p w14:paraId="6D1E2891">
            <w:pPr>
              <w:jc w:val="right"/>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iCs w:val="0"/>
                <w:color w:val="000000"/>
                <w:kern w:val="0"/>
                <w:sz w:val="20"/>
                <w:szCs w:val="20"/>
                <w:u w:val="none"/>
                <w:lang w:val="en-US" w:eastAsia="zh-CN" w:bidi="ar"/>
              </w:rPr>
              <w:t>0.00</w:t>
            </w:r>
          </w:p>
        </w:tc>
        <w:tc>
          <w:tcPr>
            <w:tcW w:w="1087" w:type="dxa"/>
            <w:vMerge w:val="continue"/>
            <w:noWrap w:val="0"/>
            <w:vAlign w:val="center"/>
          </w:tcPr>
          <w:p w14:paraId="09FA19C2">
            <w:pPr>
              <w:tabs>
                <w:tab w:val="left" w:pos="900"/>
              </w:tabs>
              <w:snapToGrid w:val="0"/>
              <w:spacing w:before="60" w:after="120"/>
              <w:ind w:right="-24"/>
              <w:jc w:val="center"/>
              <w:rPr>
                <w:rFonts w:ascii="宋体" w:hAnsi="宋体"/>
                <w:color w:val="auto"/>
                <w:highlight w:val="none"/>
              </w:rPr>
            </w:pPr>
          </w:p>
        </w:tc>
        <w:tc>
          <w:tcPr>
            <w:tcW w:w="1188" w:type="dxa"/>
            <w:tcBorders>
              <w:bottom w:val="single" w:color="auto" w:sz="4" w:space="0"/>
            </w:tcBorders>
            <w:noWrap w:val="0"/>
            <w:vAlign w:val="top"/>
          </w:tcPr>
          <w:p w14:paraId="266A398B">
            <w:pPr>
              <w:tabs>
                <w:tab w:val="left" w:pos="900"/>
              </w:tabs>
              <w:snapToGrid w:val="0"/>
              <w:spacing w:before="60" w:after="120"/>
              <w:ind w:right="-24"/>
              <w:jc w:val="center"/>
              <w:rPr>
                <w:rFonts w:ascii="宋体" w:hAnsi="宋体"/>
                <w:color w:val="auto"/>
                <w:highlight w:val="none"/>
              </w:rPr>
            </w:pPr>
          </w:p>
        </w:tc>
        <w:tc>
          <w:tcPr>
            <w:tcW w:w="715" w:type="dxa"/>
            <w:tcBorders>
              <w:top w:val="single" w:color="auto" w:sz="4" w:space="0"/>
              <w:bottom w:val="nil"/>
            </w:tcBorders>
            <w:noWrap w:val="0"/>
            <w:vAlign w:val="center"/>
          </w:tcPr>
          <w:p w14:paraId="68D9B6EF">
            <w:pPr>
              <w:tabs>
                <w:tab w:val="left" w:pos="900"/>
              </w:tabs>
              <w:snapToGrid w:val="0"/>
              <w:spacing w:before="60" w:after="120"/>
              <w:ind w:right="-24"/>
              <w:jc w:val="center"/>
              <w:rPr>
                <w:rFonts w:ascii="宋体" w:hAnsi="宋体"/>
                <w:color w:val="auto"/>
                <w:highlight w:val="none"/>
              </w:rPr>
            </w:pPr>
          </w:p>
        </w:tc>
      </w:tr>
      <w:tr w14:paraId="4430C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3" w:type="dxa"/>
            <w:tcBorders>
              <w:top w:val="single" w:color="auto" w:sz="4" w:space="0"/>
              <w:bottom w:val="nil"/>
            </w:tcBorders>
            <w:noWrap w:val="0"/>
            <w:vAlign w:val="center"/>
          </w:tcPr>
          <w:p w14:paraId="43B6BC79">
            <w:pPr>
              <w:keepNext w:val="0"/>
              <w:keepLines w:val="0"/>
              <w:widowControl/>
              <w:suppressLineNumbers w:val="0"/>
              <w:jc w:val="center"/>
              <w:textAlignment w:val="center"/>
              <w:rPr>
                <w:rFonts w:hint="eastAsia" w:ascii="宋体" w:hAnsi="宋体" w:eastAsia="宋体" w:cs="Times New Roman"/>
                <w:color w:val="auto"/>
                <w:kern w:val="2"/>
                <w:sz w:val="21"/>
                <w:szCs w:val="22"/>
                <w:highlight w:val="none"/>
                <w:lang w:val="en-US" w:eastAsia="zh-CN" w:bidi="ar-SA"/>
              </w:rPr>
            </w:pPr>
            <w:r>
              <w:rPr>
                <w:rFonts w:hint="eastAsia" w:ascii="宋体" w:hAnsi="宋体" w:eastAsia="宋体" w:cs="宋体"/>
                <w:i w:val="0"/>
                <w:iCs w:val="0"/>
                <w:color w:val="000000"/>
                <w:kern w:val="0"/>
                <w:sz w:val="21"/>
                <w:szCs w:val="21"/>
                <w:u w:val="none"/>
                <w:lang w:val="en-US" w:eastAsia="zh-CN" w:bidi="ar"/>
              </w:rPr>
              <w:t>4</w:t>
            </w:r>
          </w:p>
        </w:tc>
        <w:tc>
          <w:tcPr>
            <w:tcW w:w="3034" w:type="dxa"/>
            <w:tcBorders>
              <w:top w:val="single" w:color="auto" w:sz="4" w:space="0"/>
              <w:bottom w:val="nil"/>
            </w:tcBorders>
            <w:noWrap w:val="0"/>
            <w:vAlign w:val="center"/>
          </w:tcPr>
          <w:p w14:paraId="34C96EBB">
            <w:pPr>
              <w:keepNext w:val="0"/>
              <w:keepLines w:val="0"/>
              <w:widowControl/>
              <w:suppressLineNumbers w:val="0"/>
              <w:jc w:val="left"/>
              <w:textAlignment w:val="center"/>
              <w:rPr>
                <w:rFonts w:hint="eastAsia" w:hAnsi="宋体"/>
                <w:color w:val="auto"/>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中元站#2主变～T接110kV宁中乙线（架空线路）</w:t>
            </w:r>
          </w:p>
        </w:tc>
        <w:tc>
          <w:tcPr>
            <w:tcW w:w="1463" w:type="dxa"/>
            <w:tcBorders>
              <w:bottom w:val="single" w:color="auto" w:sz="4" w:space="0"/>
            </w:tcBorders>
            <w:noWrap w:val="0"/>
            <w:vAlign w:val="center"/>
          </w:tcPr>
          <w:p w14:paraId="3129CE2E">
            <w:pPr>
              <w:keepNext w:val="0"/>
              <w:keepLines w:val="0"/>
              <w:widowControl/>
              <w:suppressLineNumbers w:val="0"/>
              <w:jc w:val="righ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87136.00 </w:t>
            </w:r>
          </w:p>
        </w:tc>
        <w:tc>
          <w:tcPr>
            <w:tcW w:w="1087" w:type="dxa"/>
            <w:vMerge w:val="continue"/>
            <w:noWrap w:val="0"/>
            <w:vAlign w:val="center"/>
          </w:tcPr>
          <w:p w14:paraId="04EE30E5">
            <w:pPr>
              <w:tabs>
                <w:tab w:val="left" w:pos="900"/>
              </w:tabs>
              <w:snapToGrid w:val="0"/>
              <w:spacing w:before="60" w:after="120"/>
              <w:ind w:right="-24"/>
              <w:jc w:val="center"/>
              <w:rPr>
                <w:rFonts w:ascii="宋体" w:hAnsi="宋体"/>
                <w:color w:val="auto"/>
                <w:highlight w:val="none"/>
              </w:rPr>
            </w:pPr>
          </w:p>
        </w:tc>
        <w:tc>
          <w:tcPr>
            <w:tcW w:w="1188" w:type="dxa"/>
            <w:tcBorders>
              <w:bottom w:val="single" w:color="auto" w:sz="4" w:space="0"/>
            </w:tcBorders>
            <w:noWrap w:val="0"/>
            <w:vAlign w:val="top"/>
          </w:tcPr>
          <w:p w14:paraId="32449711">
            <w:pPr>
              <w:tabs>
                <w:tab w:val="left" w:pos="900"/>
              </w:tabs>
              <w:snapToGrid w:val="0"/>
              <w:spacing w:before="60" w:after="120"/>
              <w:ind w:right="-24"/>
              <w:jc w:val="center"/>
              <w:rPr>
                <w:rFonts w:ascii="宋体" w:hAnsi="宋体"/>
                <w:color w:val="auto"/>
                <w:highlight w:val="none"/>
              </w:rPr>
            </w:pPr>
          </w:p>
        </w:tc>
        <w:tc>
          <w:tcPr>
            <w:tcW w:w="715" w:type="dxa"/>
            <w:tcBorders>
              <w:top w:val="single" w:color="auto" w:sz="4" w:space="0"/>
              <w:bottom w:val="nil"/>
            </w:tcBorders>
            <w:noWrap w:val="0"/>
            <w:vAlign w:val="center"/>
          </w:tcPr>
          <w:p w14:paraId="44BCCC7F">
            <w:pPr>
              <w:tabs>
                <w:tab w:val="left" w:pos="900"/>
              </w:tabs>
              <w:snapToGrid w:val="0"/>
              <w:spacing w:before="60" w:after="120"/>
              <w:ind w:right="-24"/>
              <w:jc w:val="center"/>
              <w:rPr>
                <w:rFonts w:ascii="宋体" w:hAnsi="宋体"/>
                <w:color w:val="auto"/>
                <w:highlight w:val="none"/>
              </w:rPr>
            </w:pPr>
          </w:p>
        </w:tc>
      </w:tr>
      <w:tr w14:paraId="4CA02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3" w:type="dxa"/>
            <w:tcBorders>
              <w:top w:val="single" w:color="auto" w:sz="4" w:space="0"/>
              <w:bottom w:val="nil"/>
            </w:tcBorders>
            <w:noWrap w:val="0"/>
            <w:vAlign w:val="center"/>
          </w:tcPr>
          <w:p w14:paraId="1C1AC295">
            <w:pPr>
              <w:keepNext w:val="0"/>
              <w:keepLines w:val="0"/>
              <w:widowControl/>
              <w:suppressLineNumbers w:val="0"/>
              <w:jc w:val="center"/>
              <w:textAlignment w:val="center"/>
              <w:rPr>
                <w:rFonts w:hint="eastAsia" w:ascii="宋体" w:hAnsi="宋体" w:eastAsia="宋体" w:cs="Times New Roman"/>
                <w:color w:val="auto"/>
                <w:kern w:val="2"/>
                <w:sz w:val="21"/>
                <w:szCs w:val="22"/>
                <w:highlight w:val="none"/>
                <w:lang w:val="en-US" w:eastAsia="zh-CN" w:bidi="ar-SA"/>
              </w:rPr>
            </w:pPr>
            <w:r>
              <w:rPr>
                <w:rFonts w:hint="eastAsia" w:ascii="宋体" w:hAnsi="宋体" w:cs="宋体"/>
                <w:b/>
                <w:bCs/>
                <w:i w:val="0"/>
                <w:iCs w:val="0"/>
                <w:color w:val="000000"/>
                <w:kern w:val="0"/>
                <w:sz w:val="21"/>
                <w:szCs w:val="21"/>
                <w:u w:val="none"/>
                <w:lang w:val="en-US" w:eastAsia="zh-CN" w:bidi="ar"/>
              </w:rPr>
              <w:t>三</w:t>
            </w:r>
          </w:p>
        </w:tc>
        <w:tc>
          <w:tcPr>
            <w:tcW w:w="3034" w:type="dxa"/>
            <w:tcBorders>
              <w:top w:val="single" w:color="auto" w:sz="4" w:space="0"/>
              <w:bottom w:val="nil"/>
            </w:tcBorders>
            <w:noWrap w:val="0"/>
            <w:vAlign w:val="center"/>
          </w:tcPr>
          <w:p w14:paraId="1A6FA21D">
            <w:pPr>
              <w:keepNext w:val="0"/>
              <w:keepLines w:val="0"/>
              <w:widowControl/>
              <w:suppressLineNumbers w:val="0"/>
              <w:jc w:val="left"/>
              <w:textAlignment w:val="center"/>
              <w:rPr>
                <w:rFonts w:hint="eastAsia" w:hAnsi="宋体"/>
                <w:color w:val="auto"/>
                <w:highlight w:val="none"/>
                <w:u w:val="none"/>
                <w:lang w:val="en-US" w:eastAsia="zh-CN"/>
              </w:rPr>
            </w:pPr>
            <w:r>
              <w:rPr>
                <w:rFonts w:hint="eastAsia" w:ascii="宋体" w:hAnsi="宋体" w:eastAsia="宋体" w:cs="宋体"/>
                <w:b/>
                <w:bCs/>
                <w:i w:val="0"/>
                <w:iCs w:val="0"/>
                <w:color w:val="000000"/>
                <w:kern w:val="0"/>
                <w:sz w:val="18"/>
                <w:szCs w:val="18"/>
                <w:u w:val="none"/>
                <w:lang w:val="en-US" w:eastAsia="zh-CN" w:bidi="ar"/>
              </w:rPr>
              <w:t>通信工程</w:t>
            </w:r>
          </w:p>
        </w:tc>
        <w:tc>
          <w:tcPr>
            <w:tcW w:w="1463" w:type="dxa"/>
            <w:tcBorders>
              <w:bottom w:val="single" w:color="auto" w:sz="4" w:space="0"/>
            </w:tcBorders>
            <w:noWrap w:val="0"/>
            <w:vAlign w:val="center"/>
          </w:tcPr>
          <w:p w14:paraId="54AB7A37">
            <w:pPr>
              <w:keepNext w:val="0"/>
              <w:keepLines w:val="0"/>
              <w:widowControl/>
              <w:suppressLineNumbers w:val="0"/>
              <w:jc w:val="righ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 xml:space="preserve">18187.85 </w:t>
            </w:r>
          </w:p>
        </w:tc>
        <w:tc>
          <w:tcPr>
            <w:tcW w:w="1087" w:type="dxa"/>
            <w:vMerge w:val="continue"/>
            <w:noWrap w:val="0"/>
            <w:vAlign w:val="center"/>
          </w:tcPr>
          <w:p w14:paraId="2BC1E9BE">
            <w:pPr>
              <w:tabs>
                <w:tab w:val="left" w:pos="900"/>
              </w:tabs>
              <w:snapToGrid w:val="0"/>
              <w:spacing w:before="60" w:after="120"/>
              <w:ind w:right="-24"/>
              <w:jc w:val="center"/>
              <w:rPr>
                <w:rFonts w:ascii="宋体" w:hAnsi="宋体"/>
                <w:color w:val="auto"/>
                <w:highlight w:val="none"/>
              </w:rPr>
            </w:pPr>
          </w:p>
        </w:tc>
        <w:tc>
          <w:tcPr>
            <w:tcW w:w="1188" w:type="dxa"/>
            <w:tcBorders>
              <w:bottom w:val="single" w:color="auto" w:sz="4" w:space="0"/>
            </w:tcBorders>
            <w:noWrap w:val="0"/>
            <w:vAlign w:val="top"/>
          </w:tcPr>
          <w:p w14:paraId="09976048">
            <w:pPr>
              <w:tabs>
                <w:tab w:val="left" w:pos="900"/>
              </w:tabs>
              <w:snapToGrid w:val="0"/>
              <w:spacing w:before="60" w:after="120"/>
              <w:ind w:right="-24"/>
              <w:jc w:val="center"/>
              <w:rPr>
                <w:rFonts w:ascii="宋体" w:hAnsi="宋体"/>
                <w:color w:val="auto"/>
                <w:highlight w:val="none"/>
              </w:rPr>
            </w:pPr>
          </w:p>
        </w:tc>
        <w:tc>
          <w:tcPr>
            <w:tcW w:w="715" w:type="dxa"/>
            <w:tcBorders>
              <w:top w:val="single" w:color="auto" w:sz="4" w:space="0"/>
              <w:bottom w:val="nil"/>
            </w:tcBorders>
            <w:noWrap w:val="0"/>
            <w:vAlign w:val="center"/>
          </w:tcPr>
          <w:p w14:paraId="11AF820D">
            <w:pPr>
              <w:tabs>
                <w:tab w:val="left" w:pos="900"/>
              </w:tabs>
              <w:snapToGrid w:val="0"/>
              <w:spacing w:before="60" w:after="120"/>
              <w:ind w:right="-24"/>
              <w:jc w:val="center"/>
              <w:rPr>
                <w:rFonts w:ascii="宋体" w:hAnsi="宋体"/>
                <w:color w:val="auto"/>
                <w:highlight w:val="none"/>
              </w:rPr>
            </w:pPr>
          </w:p>
        </w:tc>
      </w:tr>
      <w:tr w14:paraId="43630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3" w:type="dxa"/>
            <w:tcBorders>
              <w:top w:val="single" w:color="auto" w:sz="4" w:space="0"/>
              <w:bottom w:val="nil"/>
            </w:tcBorders>
            <w:noWrap w:val="0"/>
            <w:vAlign w:val="center"/>
          </w:tcPr>
          <w:p w14:paraId="09006733">
            <w:pPr>
              <w:keepNext w:val="0"/>
              <w:keepLines w:val="0"/>
              <w:widowControl/>
              <w:suppressLineNumbers w:val="0"/>
              <w:jc w:val="center"/>
              <w:textAlignment w:val="center"/>
              <w:rPr>
                <w:rFonts w:hint="eastAsia" w:ascii="宋体" w:hAnsi="宋体" w:eastAsia="宋体" w:cs="Times New Roman"/>
                <w:color w:val="auto"/>
                <w:kern w:val="2"/>
                <w:sz w:val="21"/>
                <w:szCs w:val="22"/>
                <w:highlight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3034" w:type="dxa"/>
            <w:tcBorders>
              <w:top w:val="single" w:color="auto" w:sz="4" w:space="0"/>
              <w:bottom w:val="nil"/>
            </w:tcBorders>
            <w:noWrap w:val="0"/>
            <w:vAlign w:val="center"/>
          </w:tcPr>
          <w:p w14:paraId="41F87439">
            <w:pPr>
              <w:keepNext w:val="0"/>
              <w:keepLines w:val="0"/>
              <w:widowControl/>
              <w:suppressLineNumbers w:val="0"/>
              <w:jc w:val="both"/>
              <w:textAlignment w:val="center"/>
              <w:rPr>
                <w:rFonts w:hint="eastAsia" w:hAnsi="宋体"/>
                <w:color w:val="auto"/>
                <w:highlight w:val="none"/>
                <w:u w:val="none"/>
                <w:lang w:val="en-US" w:eastAsia="zh-CN"/>
              </w:rPr>
            </w:pPr>
            <w:r>
              <w:rPr>
                <w:rFonts w:hint="eastAsia" w:ascii="宋体" w:hAnsi="宋体" w:eastAsia="宋体" w:cs="宋体"/>
                <w:i w:val="0"/>
                <w:iCs w:val="0"/>
                <w:color w:val="000000"/>
                <w:kern w:val="0"/>
                <w:sz w:val="18"/>
                <w:szCs w:val="18"/>
                <w:u w:val="none"/>
                <w:lang w:val="en-US" w:eastAsia="zh-CN" w:bidi="ar"/>
              </w:rPr>
              <w:t>110kV中元输变电工程通信设备工程</w:t>
            </w:r>
          </w:p>
        </w:tc>
        <w:tc>
          <w:tcPr>
            <w:tcW w:w="1463" w:type="dxa"/>
            <w:tcBorders>
              <w:bottom w:val="single" w:color="auto" w:sz="4" w:space="0"/>
            </w:tcBorders>
            <w:noWrap w:val="0"/>
            <w:vAlign w:val="center"/>
          </w:tcPr>
          <w:p w14:paraId="28C58D5F">
            <w:pPr>
              <w:keepNext w:val="0"/>
              <w:keepLines w:val="0"/>
              <w:widowControl/>
              <w:suppressLineNumbers w:val="0"/>
              <w:jc w:val="righ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13281.87 </w:t>
            </w:r>
          </w:p>
        </w:tc>
        <w:tc>
          <w:tcPr>
            <w:tcW w:w="1087" w:type="dxa"/>
            <w:vMerge w:val="continue"/>
            <w:noWrap w:val="0"/>
            <w:vAlign w:val="center"/>
          </w:tcPr>
          <w:p w14:paraId="27ABD899">
            <w:pPr>
              <w:tabs>
                <w:tab w:val="left" w:pos="900"/>
              </w:tabs>
              <w:snapToGrid w:val="0"/>
              <w:spacing w:before="60" w:after="120"/>
              <w:ind w:right="-24"/>
              <w:jc w:val="center"/>
              <w:rPr>
                <w:rFonts w:ascii="宋体" w:hAnsi="宋体"/>
                <w:color w:val="auto"/>
                <w:highlight w:val="none"/>
              </w:rPr>
            </w:pPr>
          </w:p>
        </w:tc>
        <w:tc>
          <w:tcPr>
            <w:tcW w:w="1188" w:type="dxa"/>
            <w:tcBorders>
              <w:bottom w:val="single" w:color="auto" w:sz="4" w:space="0"/>
            </w:tcBorders>
            <w:noWrap w:val="0"/>
            <w:vAlign w:val="top"/>
          </w:tcPr>
          <w:p w14:paraId="101BFBFD">
            <w:pPr>
              <w:tabs>
                <w:tab w:val="left" w:pos="900"/>
              </w:tabs>
              <w:snapToGrid w:val="0"/>
              <w:spacing w:before="60" w:after="120"/>
              <w:ind w:right="-24"/>
              <w:jc w:val="center"/>
              <w:rPr>
                <w:rFonts w:ascii="宋体" w:hAnsi="宋体"/>
                <w:color w:val="auto"/>
                <w:highlight w:val="none"/>
              </w:rPr>
            </w:pPr>
          </w:p>
        </w:tc>
        <w:tc>
          <w:tcPr>
            <w:tcW w:w="715" w:type="dxa"/>
            <w:tcBorders>
              <w:top w:val="single" w:color="auto" w:sz="4" w:space="0"/>
              <w:bottom w:val="nil"/>
            </w:tcBorders>
            <w:noWrap w:val="0"/>
            <w:vAlign w:val="center"/>
          </w:tcPr>
          <w:p w14:paraId="07518981">
            <w:pPr>
              <w:tabs>
                <w:tab w:val="left" w:pos="900"/>
              </w:tabs>
              <w:snapToGrid w:val="0"/>
              <w:spacing w:before="60" w:after="120"/>
              <w:ind w:right="-24"/>
              <w:jc w:val="center"/>
              <w:rPr>
                <w:rFonts w:ascii="宋体" w:hAnsi="宋体"/>
                <w:color w:val="auto"/>
                <w:highlight w:val="none"/>
              </w:rPr>
            </w:pPr>
          </w:p>
        </w:tc>
      </w:tr>
      <w:tr w14:paraId="1AE23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3" w:type="dxa"/>
            <w:tcBorders>
              <w:top w:val="single" w:color="auto" w:sz="4" w:space="0"/>
              <w:bottom w:val="nil"/>
            </w:tcBorders>
            <w:noWrap w:val="0"/>
            <w:vAlign w:val="center"/>
          </w:tcPr>
          <w:p w14:paraId="0B451EE7">
            <w:pPr>
              <w:keepNext w:val="0"/>
              <w:keepLines w:val="0"/>
              <w:widowControl/>
              <w:suppressLineNumbers w:val="0"/>
              <w:jc w:val="center"/>
              <w:textAlignment w:val="center"/>
              <w:rPr>
                <w:rFonts w:hint="eastAsia" w:ascii="宋体" w:hAnsi="宋体" w:eastAsia="宋体" w:cs="Times New Roman"/>
                <w:color w:val="auto"/>
                <w:kern w:val="2"/>
                <w:sz w:val="21"/>
                <w:szCs w:val="22"/>
                <w:highlight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3034" w:type="dxa"/>
            <w:tcBorders>
              <w:top w:val="single" w:color="auto" w:sz="4" w:space="0"/>
              <w:bottom w:val="nil"/>
            </w:tcBorders>
            <w:noWrap w:val="0"/>
            <w:vAlign w:val="center"/>
          </w:tcPr>
          <w:p w14:paraId="0F7227E8">
            <w:pPr>
              <w:keepNext w:val="0"/>
              <w:keepLines w:val="0"/>
              <w:widowControl/>
              <w:suppressLineNumbers w:val="0"/>
              <w:jc w:val="both"/>
              <w:textAlignment w:val="center"/>
              <w:rPr>
                <w:rFonts w:hint="eastAsia" w:hAnsi="宋体"/>
                <w:color w:val="auto"/>
                <w:highlight w:val="none"/>
                <w:u w:val="none"/>
                <w:lang w:val="en-US" w:eastAsia="zh-CN"/>
              </w:rPr>
            </w:pPr>
            <w:r>
              <w:rPr>
                <w:rFonts w:hint="eastAsia" w:ascii="宋体" w:hAnsi="宋体" w:eastAsia="宋体" w:cs="宋体"/>
                <w:i w:val="0"/>
                <w:iCs w:val="0"/>
                <w:color w:val="000000"/>
                <w:kern w:val="0"/>
                <w:sz w:val="18"/>
                <w:szCs w:val="18"/>
                <w:u w:val="none"/>
                <w:lang w:val="en-US" w:eastAsia="zh-CN" w:bidi="ar"/>
              </w:rPr>
              <w:t>中元站#1主变～T接110kV朱福线（电缆线路）（配套光缆部分）</w:t>
            </w:r>
          </w:p>
        </w:tc>
        <w:tc>
          <w:tcPr>
            <w:tcW w:w="1463" w:type="dxa"/>
            <w:tcBorders>
              <w:bottom w:val="single" w:color="auto" w:sz="4" w:space="0"/>
            </w:tcBorders>
            <w:noWrap w:val="0"/>
            <w:vAlign w:val="center"/>
          </w:tcPr>
          <w:p w14:paraId="7E217BD9">
            <w:pPr>
              <w:keepNext w:val="0"/>
              <w:keepLines w:val="0"/>
              <w:widowControl/>
              <w:suppressLineNumbers w:val="0"/>
              <w:jc w:val="righ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3667.62 </w:t>
            </w:r>
          </w:p>
        </w:tc>
        <w:tc>
          <w:tcPr>
            <w:tcW w:w="1087" w:type="dxa"/>
            <w:vMerge w:val="continue"/>
            <w:noWrap w:val="0"/>
            <w:vAlign w:val="center"/>
          </w:tcPr>
          <w:p w14:paraId="5B37C085">
            <w:pPr>
              <w:tabs>
                <w:tab w:val="left" w:pos="900"/>
              </w:tabs>
              <w:snapToGrid w:val="0"/>
              <w:spacing w:before="60" w:after="120"/>
              <w:ind w:right="-24"/>
              <w:jc w:val="center"/>
              <w:rPr>
                <w:rFonts w:ascii="宋体" w:hAnsi="宋体"/>
                <w:color w:val="auto"/>
                <w:highlight w:val="none"/>
              </w:rPr>
            </w:pPr>
          </w:p>
        </w:tc>
        <w:tc>
          <w:tcPr>
            <w:tcW w:w="1188" w:type="dxa"/>
            <w:tcBorders>
              <w:bottom w:val="single" w:color="auto" w:sz="4" w:space="0"/>
            </w:tcBorders>
            <w:noWrap w:val="0"/>
            <w:vAlign w:val="top"/>
          </w:tcPr>
          <w:p w14:paraId="53F9BA05">
            <w:pPr>
              <w:tabs>
                <w:tab w:val="left" w:pos="900"/>
              </w:tabs>
              <w:snapToGrid w:val="0"/>
              <w:spacing w:before="60" w:after="120"/>
              <w:ind w:right="-24"/>
              <w:jc w:val="center"/>
              <w:rPr>
                <w:rFonts w:ascii="宋体" w:hAnsi="宋体"/>
                <w:color w:val="auto"/>
                <w:highlight w:val="none"/>
              </w:rPr>
            </w:pPr>
          </w:p>
        </w:tc>
        <w:tc>
          <w:tcPr>
            <w:tcW w:w="715" w:type="dxa"/>
            <w:tcBorders>
              <w:top w:val="single" w:color="auto" w:sz="4" w:space="0"/>
              <w:bottom w:val="nil"/>
            </w:tcBorders>
            <w:noWrap w:val="0"/>
            <w:vAlign w:val="center"/>
          </w:tcPr>
          <w:p w14:paraId="538F3939">
            <w:pPr>
              <w:tabs>
                <w:tab w:val="left" w:pos="900"/>
              </w:tabs>
              <w:snapToGrid w:val="0"/>
              <w:spacing w:before="60" w:after="120"/>
              <w:ind w:right="-24"/>
              <w:jc w:val="center"/>
              <w:rPr>
                <w:rFonts w:ascii="宋体" w:hAnsi="宋体"/>
                <w:color w:val="auto"/>
                <w:highlight w:val="none"/>
              </w:rPr>
            </w:pPr>
          </w:p>
        </w:tc>
      </w:tr>
      <w:tr w14:paraId="59741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3" w:type="dxa"/>
            <w:tcBorders>
              <w:top w:val="single" w:color="auto" w:sz="4" w:space="0"/>
              <w:bottom w:val="nil"/>
            </w:tcBorders>
            <w:noWrap w:val="0"/>
            <w:vAlign w:val="center"/>
          </w:tcPr>
          <w:p w14:paraId="30DEAA1A">
            <w:pPr>
              <w:keepNext w:val="0"/>
              <w:keepLines w:val="0"/>
              <w:widowControl/>
              <w:suppressLineNumbers w:val="0"/>
              <w:jc w:val="center"/>
              <w:textAlignment w:val="center"/>
              <w:rPr>
                <w:rFonts w:hint="eastAsia" w:ascii="宋体" w:hAnsi="宋体" w:eastAsia="宋体" w:cs="Times New Roman"/>
                <w:color w:val="auto"/>
                <w:kern w:val="2"/>
                <w:sz w:val="21"/>
                <w:szCs w:val="22"/>
                <w:highlight w:val="none"/>
                <w:lang w:val="en-US" w:eastAsia="zh-CN" w:bidi="ar-SA"/>
              </w:rPr>
            </w:pPr>
            <w:r>
              <w:rPr>
                <w:rFonts w:hint="eastAsia" w:ascii="宋体" w:hAnsi="宋体" w:eastAsia="宋体" w:cs="宋体"/>
                <w:i w:val="0"/>
                <w:iCs w:val="0"/>
                <w:color w:val="000000"/>
                <w:kern w:val="0"/>
                <w:sz w:val="20"/>
                <w:szCs w:val="20"/>
                <w:u w:val="none"/>
                <w:lang w:val="en-US" w:eastAsia="zh-CN" w:bidi="ar"/>
              </w:rPr>
              <w:t>3</w:t>
            </w:r>
          </w:p>
        </w:tc>
        <w:tc>
          <w:tcPr>
            <w:tcW w:w="3034" w:type="dxa"/>
            <w:tcBorders>
              <w:top w:val="single" w:color="auto" w:sz="4" w:space="0"/>
              <w:bottom w:val="nil"/>
            </w:tcBorders>
            <w:noWrap w:val="0"/>
            <w:vAlign w:val="center"/>
          </w:tcPr>
          <w:p w14:paraId="3F77A99C">
            <w:pPr>
              <w:keepNext w:val="0"/>
              <w:keepLines w:val="0"/>
              <w:widowControl/>
              <w:suppressLineNumbers w:val="0"/>
              <w:jc w:val="both"/>
              <w:textAlignment w:val="center"/>
              <w:rPr>
                <w:rFonts w:hint="eastAsia" w:hAnsi="宋体"/>
                <w:color w:val="auto"/>
                <w:highlight w:val="none"/>
                <w:u w:val="none"/>
                <w:lang w:val="en-US" w:eastAsia="zh-CN"/>
              </w:rPr>
            </w:pPr>
            <w:r>
              <w:rPr>
                <w:rFonts w:hint="eastAsia" w:ascii="宋体" w:hAnsi="宋体" w:eastAsia="宋体" w:cs="宋体"/>
                <w:i w:val="0"/>
                <w:iCs w:val="0"/>
                <w:color w:val="000000"/>
                <w:kern w:val="0"/>
                <w:sz w:val="18"/>
                <w:szCs w:val="18"/>
                <w:u w:val="none"/>
                <w:lang w:val="en-US" w:eastAsia="zh-CN" w:bidi="ar"/>
              </w:rPr>
              <w:t>中元站#2主变～T接110kV宁中乙线（电缆线路）（配套光缆部分）</w:t>
            </w:r>
          </w:p>
        </w:tc>
        <w:tc>
          <w:tcPr>
            <w:tcW w:w="1463" w:type="dxa"/>
            <w:tcBorders>
              <w:bottom w:val="single" w:color="auto" w:sz="4" w:space="0"/>
            </w:tcBorders>
            <w:noWrap w:val="0"/>
            <w:vAlign w:val="center"/>
          </w:tcPr>
          <w:p w14:paraId="1A88D045">
            <w:pPr>
              <w:keepNext w:val="0"/>
              <w:keepLines w:val="0"/>
              <w:widowControl/>
              <w:suppressLineNumbers w:val="0"/>
              <w:jc w:val="righ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1238.36 </w:t>
            </w:r>
          </w:p>
        </w:tc>
        <w:tc>
          <w:tcPr>
            <w:tcW w:w="1087" w:type="dxa"/>
            <w:vMerge w:val="continue"/>
            <w:noWrap w:val="0"/>
            <w:vAlign w:val="center"/>
          </w:tcPr>
          <w:p w14:paraId="3E582A54">
            <w:pPr>
              <w:tabs>
                <w:tab w:val="left" w:pos="900"/>
              </w:tabs>
              <w:snapToGrid w:val="0"/>
              <w:spacing w:before="60" w:after="120"/>
              <w:ind w:right="-24"/>
              <w:jc w:val="center"/>
              <w:rPr>
                <w:rFonts w:ascii="宋体" w:hAnsi="宋体"/>
                <w:color w:val="auto"/>
                <w:highlight w:val="none"/>
              </w:rPr>
            </w:pPr>
          </w:p>
        </w:tc>
        <w:tc>
          <w:tcPr>
            <w:tcW w:w="1188" w:type="dxa"/>
            <w:tcBorders>
              <w:bottom w:val="single" w:color="auto" w:sz="4" w:space="0"/>
            </w:tcBorders>
            <w:noWrap w:val="0"/>
            <w:vAlign w:val="top"/>
          </w:tcPr>
          <w:p w14:paraId="27169865">
            <w:pPr>
              <w:tabs>
                <w:tab w:val="left" w:pos="900"/>
              </w:tabs>
              <w:snapToGrid w:val="0"/>
              <w:spacing w:before="60" w:after="120"/>
              <w:ind w:right="-24"/>
              <w:jc w:val="center"/>
              <w:rPr>
                <w:rFonts w:ascii="宋体" w:hAnsi="宋体"/>
                <w:color w:val="auto"/>
                <w:highlight w:val="none"/>
              </w:rPr>
            </w:pPr>
          </w:p>
        </w:tc>
        <w:tc>
          <w:tcPr>
            <w:tcW w:w="715" w:type="dxa"/>
            <w:tcBorders>
              <w:top w:val="single" w:color="auto" w:sz="4" w:space="0"/>
              <w:bottom w:val="nil"/>
            </w:tcBorders>
            <w:noWrap w:val="0"/>
            <w:vAlign w:val="center"/>
          </w:tcPr>
          <w:p w14:paraId="646820E6">
            <w:pPr>
              <w:tabs>
                <w:tab w:val="left" w:pos="900"/>
              </w:tabs>
              <w:snapToGrid w:val="0"/>
              <w:spacing w:before="60" w:after="120"/>
              <w:ind w:right="-24"/>
              <w:jc w:val="center"/>
              <w:rPr>
                <w:rFonts w:ascii="宋体" w:hAnsi="宋体"/>
                <w:color w:val="auto"/>
                <w:highlight w:val="none"/>
              </w:rPr>
            </w:pPr>
          </w:p>
        </w:tc>
      </w:tr>
      <w:tr w14:paraId="6888A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3" w:type="dxa"/>
            <w:tcBorders>
              <w:top w:val="single" w:color="auto" w:sz="4" w:space="0"/>
              <w:bottom w:val="nil"/>
            </w:tcBorders>
            <w:noWrap w:val="0"/>
            <w:vAlign w:val="center"/>
          </w:tcPr>
          <w:p w14:paraId="2116689B">
            <w:pPr>
              <w:keepNext w:val="0"/>
              <w:keepLines w:val="0"/>
              <w:widowControl/>
              <w:suppressLineNumbers w:val="0"/>
              <w:jc w:val="center"/>
              <w:textAlignment w:val="center"/>
              <w:rPr>
                <w:rFonts w:hint="eastAsia" w:ascii="宋体" w:hAnsi="宋体" w:eastAsia="宋体" w:cs="Times New Roman"/>
                <w:color w:val="auto"/>
                <w:kern w:val="2"/>
                <w:sz w:val="21"/>
                <w:szCs w:val="22"/>
                <w:highlight w:val="none"/>
                <w:lang w:val="en-US" w:eastAsia="zh-CN" w:bidi="ar-SA"/>
              </w:rPr>
            </w:pPr>
            <w:r>
              <w:rPr>
                <w:rFonts w:hint="eastAsia" w:ascii="宋体" w:hAnsi="宋体" w:eastAsia="宋体" w:cs="宋体"/>
                <w:i w:val="0"/>
                <w:iCs w:val="0"/>
                <w:color w:val="000000"/>
                <w:kern w:val="0"/>
                <w:sz w:val="20"/>
                <w:szCs w:val="20"/>
                <w:u w:val="none"/>
                <w:lang w:val="en-US" w:eastAsia="zh-CN" w:bidi="ar"/>
              </w:rPr>
              <w:t>4</w:t>
            </w:r>
          </w:p>
        </w:tc>
        <w:tc>
          <w:tcPr>
            <w:tcW w:w="3034" w:type="dxa"/>
            <w:tcBorders>
              <w:top w:val="single" w:color="auto" w:sz="4" w:space="0"/>
              <w:bottom w:val="nil"/>
            </w:tcBorders>
            <w:noWrap w:val="0"/>
            <w:vAlign w:val="center"/>
          </w:tcPr>
          <w:p w14:paraId="6CE3A2B8">
            <w:pPr>
              <w:keepNext w:val="0"/>
              <w:keepLines w:val="0"/>
              <w:widowControl/>
              <w:suppressLineNumbers w:val="0"/>
              <w:jc w:val="both"/>
              <w:textAlignment w:val="center"/>
              <w:rPr>
                <w:rFonts w:hint="eastAsia" w:hAnsi="宋体"/>
                <w:color w:val="auto"/>
                <w:highlight w:val="none"/>
                <w:u w:val="none"/>
                <w:lang w:val="en-US" w:eastAsia="zh-CN"/>
              </w:rPr>
            </w:pPr>
            <w:r>
              <w:rPr>
                <w:rFonts w:hint="eastAsia" w:ascii="宋体" w:hAnsi="宋体" w:eastAsia="宋体" w:cs="宋体"/>
                <w:i w:val="0"/>
                <w:iCs w:val="0"/>
                <w:color w:val="000000"/>
                <w:kern w:val="0"/>
                <w:sz w:val="18"/>
                <w:szCs w:val="18"/>
                <w:u w:val="none"/>
                <w:lang w:val="en-US" w:eastAsia="zh-CN" w:bidi="ar"/>
              </w:rPr>
              <w:t>中元站#1主变～T接110kV朱福线（架空线路）（配套光缆部分）</w:t>
            </w:r>
          </w:p>
        </w:tc>
        <w:tc>
          <w:tcPr>
            <w:tcW w:w="1463" w:type="dxa"/>
            <w:tcBorders>
              <w:bottom w:val="single" w:color="auto" w:sz="4" w:space="0"/>
            </w:tcBorders>
            <w:noWrap w:val="0"/>
            <w:vAlign w:val="center"/>
          </w:tcPr>
          <w:p w14:paraId="01D3E612">
            <w:pPr>
              <w:jc w:val="right"/>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iCs w:val="0"/>
                <w:color w:val="000000"/>
                <w:kern w:val="0"/>
                <w:sz w:val="20"/>
                <w:szCs w:val="20"/>
                <w:u w:val="none"/>
                <w:lang w:val="en-US" w:eastAsia="zh-CN" w:bidi="ar"/>
              </w:rPr>
              <w:t>0.00</w:t>
            </w:r>
          </w:p>
        </w:tc>
        <w:tc>
          <w:tcPr>
            <w:tcW w:w="1087" w:type="dxa"/>
            <w:vMerge w:val="continue"/>
            <w:noWrap w:val="0"/>
            <w:vAlign w:val="center"/>
          </w:tcPr>
          <w:p w14:paraId="1A990FE4">
            <w:pPr>
              <w:tabs>
                <w:tab w:val="left" w:pos="900"/>
              </w:tabs>
              <w:snapToGrid w:val="0"/>
              <w:spacing w:before="60" w:after="120"/>
              <w:ind w:right="-24"/>
              <w:jc w:val="center"/>
              <w:rPr>
                <w:rFonts w:ascii="宋体" w:hAnsi="宋体"/>
                <w:color w:val="auto"/>
                <w:highlight w:val="none"/>
              </w:rPr>
            </w:pPr>
          </w:p>
        </w:tc>
        <w:tc>
          <w:tcPr>
            <w:tcW w:w="1188" w:type="dxa"/>
            <w:tcBorders>
              <w:bottom w:val="single" w:color="auto" w:sz="4" w:space="0"/>
            </w:tcBorders>
            <w:noWrap w:val="0"/>
            <w:vAlign w:val="top"/>
          </w:tcPr>
          <w:p w14:paraId="58142FBE">
            <w:pPr>
              <w:tabs>
                <w:tab w:val="left" w:pos="900"/>
              </w:tabs>
              <w:snapToGrid w:val="0"/>
              <w:spacing w:before="60" w:after="120"/>
              <w:ind w:right="-24"/>
              <w:jc w:val="center"/>
              <w:rPr>
                <w:rFonts w:ascii="宋体" w:hAnsi="宋体"/>
                <w:color w:val="auto"/>
                <w:highlight w:val="none"/>
              </w:rPr>
            </w:pPr>
          </w:p>
        </w:tc>
        <w:tc>
          <w:tcPr>
            <w:tcW w:w="715" w:type="dxa"/>
            <w:tcBorders>
              <w:top w:val="single" w:color="auto" w:sz="4" w:space="0"/>
              <w:bottom w:val="nil"/>
            </w:tcBorders>
            <w:noWrap w:val="0"/>
            <w:vAlign w:val="center"/>
          </w:tcPr>
          <w:p w14:paraId="5C2D2801">
            <w:pPr>
              <w:tabs>
                <w:tab w:val="left" w:pos="900"/>
              </w:tabs>
              <w:snapToGrid w:val="0"/>
              <w:spacing w:before="60" w:after="120"/>
              <w:ind w:right="-24"/>
              <w:jc w:val="center"/>
              <w:rPr>
                <w:rFonts w:ascii="宋体" w:hAnsi="宋体"/>
                <w:color w:val="auto"/>
                <w:highlight w:val="none"/>
              </w:rPr>
            </w:pPr>
          </w:p>
        </w:tc>
      </w:tr>
      <w:tr w14:paraId="001BC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3" w:type="dxa"/>
            <w:tcBorders>
              <w:top w:val="single" w:color="auto" w:sz="4" w:space="0"/>
              <w:bottom w:val="nil"/>
            </w:tcBorders>
            <w:noWrap w:val="0"/>
            <w:vAlign w:val="center"/>
          </w:tcPr>
          <w:p w14:paraId="2522967B">
            <w:pPr>
              <w:keepNext w:val="0"/>
              <w:keepLines w:val="0"/>
              <w:widowControl/>
              <w:suppressLineNumbers w:val="0"/>
              <w:jc w:val="center"/>
              <w:textAlignment w:val="center"/>
              <w:rPr>
                <w:rFonts w:hint="eastAsia" w:ascii="宋体" w:hAnsi="宋体" w:eastAsia="宋体" w:cs="Times New Roman"/>
                <w:color w:val="auto"/>
                <w:kern w:val="2"/>
                <w:sz w:val="21"/>
                <w:szCs w:val="22"/>
                <w:highlight w:val="none"/>
                <w:lang w:val="en-US" w:eastAsia="zh-CN" w:bidi="ar-SA"/>
              </w:rPr>
            </w:pPr>
            <w:r>
              <w:rPr>
                <w:rFonts w:hint="eastAsia" w:ascii="宋体" w:hAnsi="宋体" w:eastAsia="宋体" w:cs="宋体"/>
                <w:i w:val="0"/>
                <w:iCs w:val="0"/>
                <w:color w:val="000000"/>
                <w:kern w:val="0"/>
                <w:sz w:val="20"/>
                <w:szCs w:val="20"/>
                <w:u w:val="none"/>
                <w:lang w:val="en-US" w:eastAsia="zh-CN" w:bidi="ar"/>
              </w:rPr>
              <w:t>5</w:t>
            </w:r>
          </w:p>
        </w:tc>
        <w:tc>
          <w:tcPr>
            <w:tcW w:w="3034" w:type="dxa"/>
            <w:tcBorders>
              <w:top w:val="single" w:color="auto" w:sz="4" w:space="0"/>
              <w:bottom w:val="nil"/>
            </w:tcBorders>
            <w:noWrap w:val="0"/>
            <w:vAlign w:val="center"/>
          </w:tcPr>
          <w:p w14:paraId="647395C5">
            <w:pPr>
              <w:keepNext w:val="0"/>
              <w:keepLines w:val="0"/>
              <w:widowControl/>
              <w:suppressLineNumbers w:val="0"/>
              <w:jc w:val="both"/>
              <w:textAlignment w:val="center"/>
              <w:rPr>
                <w:rFonts w:hint="eastAsia" w:hAnsi="宋体"/>
                <w:color w:val="auto"/>
                <w:highlight w:val="none"/>
                <w:u w:val="none"/>
                <w:lang w:val="en-US" w:eastAsia="zh-CN"/>
              </w:rPr>
            </w:pPr>
            <w:r>
              <w:rPr>
                <w:rFonts w:hint="eastAsia" w:ascii="宋体" w:hAnsi="宋体" w:eastAsia="宋体" w:cs="宋体"/>
                <w:i w:val="0"/>
                <w:iCs w:val="0"/>
                <w:color w:val="000000"/>
                <w:kern w:val="0"/>
                <w:sz w:val="18"/>
                <w:szCs w:val="18"/>
                <w:u w:val="none"/>
                <w:lang w:val="en-US" w:eastAsia="zh-CN" w:bidi="ar"/>
              </w:rPr>
              <w:t>中元站#2主变～T接110kV宁中乙线（架空线路）（配套光缆部分）</w:t>
            </w:r>
          </w:p>
        </w:tc>
        <w:tc>
          <w:tcPr>
            <w:tcW w:w="1463" w:type="dxa"/>
            <w:tcBorders>
              <w:bottom w:val="single" w:color="auto" w:sz="4" w:space="0"/>
            </w:tcBorders>
            <w:noWrap w:val="0"/>
            <w:vAlign w:val="center"/>
          </w:tcPr>
          <w:p w14:paraId="28441A22">
            <w:pPr>
              <w:jc w:val="right"/>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iCs w:val="0"/>
                <w:color w:val="000000"/>
                <w:kern w:val="0"/>
                <w:sz w:val="20"/>
                <w:szCs w:val="20"/>
                <w:u w:val="none"/>
                <w:lang w:val="en-US" w:eastAsia="zh-CN" w:bidi="ar"/>
              </w:rPr>
              <w:t>0.00</w:t>
            </w:r>
          </w:p>
        </w:tc>
        <w:tc>
          <w:tcPr>
            <w:tcW w:w="1087" w:type="dxa"/>
            <w:vMerge w:val="continue"/>
            <w:noWrap w:val="0"/>
            <w:vAlign w:val="center"/>
          </w:tcPr>
          <w:p w14:paraId="37CCCAF2">
            <w:pPr>
              <w:tabs>
                <w:tab w:val="left" w:pos="900"/>
              </w:tabs>
              <w:snapToGrid w:val="0"/>
              <w:spacing w:before="60" w:after="120"/>
              <w:ind w:right="-24"/>
              <w:jc w:val="center"/>
              <w:rPr>
                <w:rFonts w:ascii="宋体" w:hAnsi="宋体"/>
                <w:color w:val="auto"/>
                <w:highlight w:val="none"/>
              </w:rPr>
            </w:pPr>
          </w:p>
        </w:tc>
        <w:tc>
          <w:tcPr>
            <w:tcW w:w="1188" w:type="dxa"/>
            <w:tcBorders>
              <w:bottom w:val="single" w:color="auto" w:sz="4" w:space="0"/>
            </w:tcBorders>
            <w:noWrap w:val="0"/>
            <w:vAlign w:val="top"/>
          </w:tcPr>
          <w:p w14:paraId="69986368">
            <w:pPr>
              <w:tabs>
                <w:tab w:val="left" w:pos="900"/>
              </w:tabs>
              <w:snapToGrid w:val="0"/>
              <w:spacing w:before="60" w:after="120"/>
              <w:ind w:right="-24"/>
              <w:jc w:val="center"/>
              <w:rPr>
                <w:rFonts w:ascii="宋体" w:hAnsi="宋体"/>
                <w:color w:val="auto"/>
                <w:highlight w:val="none"/>
              </w:rPr>
            </w:pPr>
          </w:p>
        </w:tc>
        <w:tc>
          <w:tcPr>
            <w:tcW w:w="715" w:type="dxa"/>
            <w:tcBorders>
              <w:top w:val="single" w:color="auto" w:sz="4" w:space="0"/>
              <w:bottom w:val="nil"/>
            </w:tcBorders>
            <w:noWrap w:val="0"/>
            <w:vAlign w:val="center"/>
          </w:tcPr>
          <w:p w14:paraId="0FE2965A">
            <w:pPr>
              <w:tabs>
                <w:tab w:val="left" w:pos="900"/>
              </w:tabs>
              <w:snapToGrid w:val="0"/>
              <w:spacing w:before="60" w:after="120"/>
              <w:ind w:right="-24"/>
              <w:jc w:val="center"/>
              <w:rPr>
                <w:rFonts w:ascii="宋体" w:hAnsi="宋体"/>
                <w:color w:val="auto"/>
                <w:highlight w:val="none"/>
              </w:rPr>
            </w:pPr>
          </w:p>
        </w:tc>
      </w:tr>
      <w:tr w14:paraId="159DE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3" w:type="dxa"/>
            <w:tcBorders>
              <w:top w:val="single" w:color="auto" w:sz="4" w:space="0"/>
              <w:bottom w:val="nil"/>
            </w:tcBorders>
            <w:noWrap w:val="0"/>
            <w:vAlign w:val="center"/>
          </w:tcPr>
          <w:p w14:paraId="21697126">
            <w:pPr>
              <w:tabs>
                <w:tab w:val="left" w:pos="900"/>
              </w:tabs>
              <w:snapToGrid w:val="0"/>
              <w:spacing w:before="60" w:after="120"/>
              <w:ind w:right="-24" w:rightChars="0"/>
              <w:jc w:val="center"/>
              <w:rPr>
                <w:rFonts w:hint="eastAsia" w:ascii="宋体" w:hAnsi="宋体" w:eastAsia="宋体" w:cs="Times New Roman"/>
                <w:color w:val="auto"/>
                <w:kern w:val="2"/>
                <w:sz w:val="21"/>
                <w:szCs w:val="22"/>
                <w:highlight w:val="none"/>
                <w:lang w:val="en-US" w:eastAsia="zh-CN" w:bidi="ar-SA"/>
              </w:rPr>
            </w:pPr>
          </w:p>
        </w:tc>
        <w:tc>
          <w:tcPr>
            <w:tcW w:w="3034" w:type="dxa"/>
            <w:tcBorders>
              <w:top w:val="single" w:color="auto" w:sz="4" w:space="0"/>
              <w:bottom w:val="nil"/>
            </w:tcBorders>
            <w:noWrap w:val="0"/>
            <w:vAlign w:val="center"/>
          </w:tcPr>
          <w:p w14:paraId="2C0AC79E">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合计</w:t>
            </w:r>
          </w:p>
        </w:tc>
        <w:tc>
          <w:tcPr>
            <w:tcW w:w="1463" w:type="dxa"/>
            <w:tcBorders>
              <w:bottom w:val="single" w:color="auto" w:sz="4" w:space="0"/>
            </w:tcBorders>
            <w:noWrap w:val="0"/>
            <w:vAlign w:val="center"/>
          </w:tcPr>
          <w:p w14:paraId="774FB62F">
            <w:pPr>
              <w:keepNext w:val="0"/>
              <w:keepLines w:val="0"/>
              <w:widowControl/>
              <w:suppressLineNumbers w:val="0"/>
              <w:jc w:val="righ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 xml:space="preserve">1950056.75 </w:t>
            </w:r>
          </w:p>
        </w:tc>
        <w:tc>
          <w:tcPr>
            <w:tcW w:w="1087" w:type="dxa"/>
            <w:noWrap w:val="0"/>
            <w:vAlign w:val="center"/>
          </w:tcPr>
          <w:p w14:paraId="2DA177DC">
            <w:pPr>
              <w:tabs>
                <w:tab w:val="left" w:pos="900"/>
              </w:tabs>
              <w:snapToGrid w:val="0"/>
              <w:spacing w:before="60" w:after="120"/>
              <w:ind w:right="-24"/>
              <w:jc w:val="center"/>
              <w:rPr>
                <w:rFonts w:ascii="宋体" w:hAnsi="宋体"/>
                <w:color w:val="auto"/>
                <w:highlight w:val="none"/>
              </w:rPr>
            </w:pPr>
          </w:p>
        </w:tc>
        <w:tc>
          <w:tcPr>
            <w:tcW w:w="1188" w:type="dxa"/>
            <w:tcBorders>
              <w:bottom w:val="single" w:color="auto" w:sz="4" w:space="0"/>
            </w:tcBorders>
            <w:noWrap w:val="0"/>
            <w:vAlign w:val="top"/>
          </w:tcPr>
          <w:p w14:paraId="097E8A1F">
            <w:pPr>
              <w:tabs>
                <w:tab w:val="left" w:pos="900"/>
              </w:tabs>
              <w:snapToGrid w:val="0"/>
              <w:spacing w:before="60" w:after="120"/>
              <w:ind w:right="-24"/>
              <w:jc w:val="center"/>
              <w:rPr>
                <w:rFonts w:ascii="宋体" w:hAnsi="宋体"/>
                <w:color w:val="auto"/>
                <w:highlight w:val="none"/>
              </w:rPr>
            </w:pPr>
          </w:p>
        </w:tc>
        <w:tc>
          <w:tcPr>
            <w:tcW w:w="715" w:type="dxa"/>
            <w:tcBorders>
              <w:top w:val="single" w:color="auto" w:sz="4" w:space="0"/>
              <w:bottom w:val="nil"/>
            </w:tcBorders>
            <w:noWrap w:val="0"/>
            <w:vAlign w:val="center"/>
          </w:tcPr>
          <w:p w14:paraId="08D32519">
            <w:pPr>
              <w:tabs>
                <w:tab w:val="left" w:pos="900"/>
              </w:tabs>
              <w:snapToGrid w:val="0"/>
              <w:spacing w:before="60" w:after="120"/>
              <w:ind w:right="-24"/>
              <w:jc w:val="center"/>
              <w:rPr>
                <w:rFonts w:ascii="宋体" w:hAnsi="宋体"/>
                <w:color w:val="auto"/>
                <w:highlight w:val="none"/>
              </w:rPr>
            </w:pPr>
          </w:p>
        </w:tc>
      </w:tr>
      <w:tr w14:paraId="3EFAB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877" w:type="dxa"/>
            <w:gridSpan w:val="2"/>
            <w:tcBorders>
              <w:top w:val="single" w:color="auto" w:sz="4" w:space="0"/>
              <w:bottom w:val="single" w:color="auto" w:sz="4" w:space="0"/>
            </w:tcBorders>
            <w:noWrap w:val="0"/>
            <w:vAlign w:val="center"/>
          </w:tcPr>
          <w:p w14:paraId="40CB5AEC">
            <w:pPr>
              <w:tabs>
                <w:tab w:val="left" w:pos="900"/>
              </w:tabs>
              <w:snapToGrid w:val="0"/>
              <w:spacing w:before="60" w:after="120"/>
              <w:ind w:right="-24"/>
              <w:jc w:val="center"/>
              <w:rPr>
                <w:rFonts w:ascii="宋体" w:hAnsi="宋体"/>
                <w:b/>
                <w:color w:val="auto"/>
                <w:szCs w:val="21"/>
                <w:highlight w:val="none"/>
              </w:rPr>
            </w:pPr>
            <w:r>
              <w:rPr>
                <w:rFonts w:hint="eastAsia" w:ascii="宋体" w:hAnsi="宋体"/>
                <w:b/>
                <w:color w:val="auto"/>
                <w:szCs w:val="21"/>
                <w:highlight w:val="none"/>
              </w:rPr>
              <w:t>投标报价总金额(大写)</w:t>
            </w:r>
          </w:p>
        </w:tc>
        <w:tc>
          <w:tcPr>
            <w:tcW w:w="1463" w:type="dxa"/>
            <w:tcBorders>
              <w:top w:val="single" w:color="auto" w:sz="4" w:space="0"/>
              <w:bottom w:val="single" w:color="auto" w:sz="4" w:space="0"/>
              <w:tr2bl w:val="single" w:color="auto" w:sz="4" w:space="0"/>
            </w:tcBorders>
            <w:noWrap w:val="0"/>
            <w:vAlign w:val="top"/>
          </w:tcPr>
          <w:p w14:paraId="64E2AF9E">
            <w:pPr>
              <w:tabs>
                <w:tab w:val="left" w:pos="900"/>
              </w:tabs>
              <w:snapToGrid w:val="0"/>
              <w:spacing w:before="60" w:after="120"/>
              <w:ind w:right="-24"/>
              <w:jc w:val="center"/>
              <w:rPr>
                <w:rFonts w:ascii="宋体" w:hAnsi="宋体"/>
                <w:color w:val="auto"/>
                <w:highlight w:val="none"/>
              </w:rPr>
            </w:pPr>
          </w:p>
        </w:tc>
        <w:tc>
          <w:tcPr>
            <w:tcW w:w="1087" w:type="dxa"/>
            <w:tcBorders>
              <w:top w:val="single" w:color="auto" w:sz="4" w:space="0"/>
              <w:bottom w:val="single" w:color="auto" w:sz="4" w:space="0"/>
              <w:tr2bl w:val="single" w:color="auto" w:sz="4" w:space="0"/>
            </w:tcBorders>
            <w:noWrap w:val="0"/>
            <w:vAlign w:val="center"/>
          </w:tcPr>
          <w:p w14:paraId="6E5296ED">
            <w:pPr>
              <w:tabs>
                <w:tab w:val="left" w:pos="900"/>
              </w:tabs>
              <w:snapToGrid w:val="0"/>
              <w:spacing w:before="60" w:after="120"/>
              <w:ind w:right="-24"/>
              <w:jc w:val="center"/>
              <w:rPr>
                <w:rFonts w:ascii="宋体" w:hAnsi="宋体"/>
                <w:color w:val="auto"/>
                <w:highlight w:val="none"/>
              </w:rPr>
            </w:pPr>
          </w:p>
        </w:tc>
        <w:tc>
          <w:tcPr>
            <w:tcW w:w="1188" w:type="dxa"/>
            <w:tcBorders>
              <w:top w:val="single" w:color="auto" w:sz="4" w:space="0"/>
              <w:bottom w:val="single" w:color="auto" w:sz="4" w:space="0"/>
              <w:tr2bl w:val="single" w:color="auto" w:sz="4" w:space="0"/>
            </w:tcBorders>
            <w:noWrap w:val="0"/>
            <w:vAlign w:val="top"/>
          </w:tcPr>
          <w:p w14:paraId="5D500246">
            <w:pPr>
              <w:tabs>
                <w:tab w:val="left" w:pos="900"/>
              </w:tabs>
              <w:snapToGrid w:val="0"/>
              <w:spacing w:before="60" w:after="120"/>
              <w:ind w:right="-24"/>
              <w:jc w:val="center"/>
              <w:rPr>
                <w:rFonts w:ascii="宋体" w:hAnsi="宋体"/>
                <w:color w:val="auto"/>
                <w:highlight w:val="none"/>
              </w:rPr>
            </w:pPr>
          </w:p>
        </w:tc>
        <w:tc>
          <w:tcPr>
            <w:tcW w:w="715" w:type="dxa"/>
            <w:tcBorders>
              <w:top w:val="single" w:color="auto" w:sz="4" w:space="0"/>
              <w:bottom w:val="single" w:color="auto" w:sz="4" w:space="0"/>
            </w:tcBorders>
            <w:noWrap w:val="0"/>
            <w:vAlign w:val="center"/>
          </w:tcPr>
          <w:p w14:paraId="3B731C36">
            <w:pPr>
              <w:tabs>
                <w:tab w:val="left" w:pos="900"/>
              </w:tabs>
              <w:snapToGrid w:val="0"/>
              <w:spacing w:before="60" w:after="120"/>
              <w:ind w:right="-24"/>
              <w:jc w:val="center"/>
              <w:rPr>
                <w:rFonts w:ascii="宋体" w:hAnsi="宋体"/>
                <w:color w:val="auto"/>
                <w:highlight w:val="none"/>
              </w:rPr>
            </w:pPr>
          </w:p>
        </w:tc>
      </w:tr>
    </w:tbl>
    <w:p w14:paraId="55117390">
      <w:pPr>
        <w:pStyle w:val="2"/>
        <w:rPr>
          <w:rFonts w:hint="eastAsia"/>
          <w:highlight w:val="none"/>
          <w:lang w:val="en-US" w:eastAsia="zh-CN"/>
        </w:rPr>
      </w:pPr>
    </w:p>
    <w:p w14:paraId="1091E664">
      <w:pPr>
        <w:pStyle w:val="2"/>
        <w:rPr>
          <w:rFonts w:hint="eastAsia"/>
          <w:highlight w:val="none"/>
          <w:lang w:val="en-US" w:eastAsia="zh-CN"/>
        </w:rPr>
      </w:pPr>
    </w:p>
    <w:p w14:paraId="2408BCC9">
      <w:pPr>
        <w:pStyle w:val="2"/>
        <w:rPr>
          <w:rFonts w:hint="eastAsia"/>
          <w:highlight w:val="none"/>
          <w:lang w:val="en-US" w:eastAsia="zh-CN"/>
        </w:rPr>
      </w:pPr>
    </w:p>
    <w:p w14:paraId="294B8F92">
      <w:pPr>
        <w:pStyle w:val="2"/>
        <w:rPr>
          <w:rFonts w:hint="eastAsia"/>
          <w:highlight w:val="none"/>
          <w:lang w:val="en-US" w:eastAsia="zh-CN"/>
        </w:rPr>
      </w:pPr>
    </w:p>
    <w:p w14:paraId="2D640557">
      <w:pPr>
        <w:pStyle w:val="2"/>
        <w:rPr>
          <w:rFonts w:hint="eastAsia"/>
          <w:highlight w:val="none"/>
          <w:lang w:val="en-US" w:eastAsia="zh-CN"/>
        </w:rPr>
      </w:pPr>
    </w:p>
    <w:p w14:paraId="55EC15DF">
      <w:pPr>
        <w:pStyle w:val="2"/>
        <w:rPr>
          <w:rFonts w:hint="eastAsia"/>
          <w:lang w:val="en-US" w:eastAsia="zh-CN"/>
        </w:rPr>
      </w:pPr>
    </w:p>
    <w:p w14:paraId="673DE603">
      <w:pPr>
        <w:rPr>
          <w:rFonts w:hint="eastAsia"/>
          <w:highlight w:val="none"/>
          <w:lang w:val="en-US" w:eastAsia="zh-CN"/>
        </w:rPr>
      </w:pPr>
    </w:p>
    <w:p w14:paraId="3FB7CD83">
      <w:pPr>
        <w:pStyle w:val="3"/>
        <w:ind w:firstLine="240" w:firstLineChars="100"/>
        <w:rPr>
          <w:rFonts w:hint="eastAsia" w:ascii="宋体" w:hAnsi="宋体" w:eastAsia="宋体" w:cs="宋体"/>
          <w:color w:val="auto"/>
          <w:kern w:val="2"/>
          <w:sz w:val="24"/>
          <w:szCs w:val="24"/>
          <w:highlight w:val="none"/>
          <w:u w:val="none"/>
          <w:lang w:val="en-US" w:eastAsia="zh-CN" w:bidi="ar-SA"/>
        </w:rPr>
      </w:pPr>
    </w:p>
    <w:p w14:paraId="57EC0503">
      <w:pPr>
        <w:pStyle w:val="3"/>
        <w:ind w:firstLine="240" w:firstLineChars="100"/>
        <w:rPr>
          <w:rFonts w:hint="eastAsia" w:ascii="宋体" w:hAnsi="宋体" w:eastAsia="宋体" w:cs="宋体"/>
          <w:color w:val="auto"/>
          <w:kern w:val="2"/>
          <w:sz w:val="24"/>
          <w:szCs w:val="24"/>
          <w:highlight w:val="none"/>
          <w:u w:val="none"/>
          <w:lang w:val="en-US" w:eastAsia="zh-CN" w:bidi="ar-SA"/>
        </w:rPr>
      </w:pPr>
    </w:p>
    <w:p w14:paraId="6DE2676B">
      <w:pPr>
        <w:pStyle w:val="3"/>
        <w:ind w:firstLine="240" w:firstLineChars="100"/>
        <w:rPr>
          <w:rFonts w:hint="eastAsia" w:ascii="宋体" w:hAnsi="宋体" w:eastAsia="宋体" w:cs="宋体"/>
          <w:color w:val="auto"/>
          <w:kern w:val="2"/>
          <w:sz w:val="24"/>
          <w:szCs w:val="24"/>
          <w:highlight w:val="none"/>
          <w:u w:val="none"/>
          <w:lang w:val="en-US" w:eastAsia="zh-CN" w:bidi="ar-SA"/>
        </w:rPr>
      </w:pPr>
    </w:p>
    <w:p w14:paraId="754CFAD6">
      <w:pPr>
        <w:pStyle w:val="3"/>
        <w:ind w:firstLine="240" w:firstLineChars="100"/>
        <w:rPr>
          <w:rFonts w:hint="eastAsia" w:ascii="宋体" w:hAnsi="宋体" w:eastAsia="宋体" w:cs="宋体"/>
          <w:color w:val="auto"/>
          <w:kern w:val="2"/>
          <w:sz w:val="24"/>
          <w:szCs w:val="24"/>
          <w:highlight w:val="none"/>
          <w:u w:val="none"/>
          <w:lang w:val="en-US" w:eastAsia="zh-CN" w:bidi="ar-SA"/>
        </w:rPr>
      </w:pPr>
    </w:p>
    <w:p w14:paraId="479FF23A">
      <w:pPr>
        <w:pStyle w:val="3"/>
        <w:ind w:firstLine="240" w:firstLineChars="100"/>
        <w:rPr>
          <w:rFonts w:hint="eastAsia" w:ascii="宋体" w:hAnsi="宋体" w:eastAsia="宋体" w:cs="宋体"/>
          <w:color w:val="auto"/>
          <w:kern w:val="2"/>
          <w:sz w:val="24"/>
          <w:szCs w:val="24"/>
          <w:highlight w:val="none"/>
          <w:u w:val="none"/>
          <w:lang w:val="en-US" w:eastAsia="zh-CN" w:bidi="ar-SA"/>
        </w:rPr>
      </w:pPr>
    </w:p>
    <w:p w14:paraId="3798A568">
      <w:pPr>
        <w:pStyle w:val="3"/>
        <w:ind w:firstLine="240" w:firstLineChars="100"/>
        <w:rPr>
          <w:rFonts w:hint="eastAsia" w:ascii="宋体" w:hAnsi="宋体" w:eastAsia="宋体" w:cs="宋体"/>
          <w:color w:val="auto"/>
          <w:kern w:val="2"/>
          <w:sz w:val="24"/>
          <w:szCs w:val="24"/>
          <w:highlight w:val="none"/>
          <w:u w:val="none"/>
          <w:lang w:val="en-US" w:eastAsia="zh-CN" w:bidi="ar-SA"/>
        </w:rPr>
      </w:pPr>
    </w:p>
    <w:p w14:paraId="04A0428B">
      <w:pPr>
        <w:pStyle w:val="3"/>
        <w:ind w:firstLine="240" w:firstLineChars="100"/>
        <w:rPr>
          <w:rFonts w:hint="eastAsia" w:ascii="宋体" w:hAnsi="宋体" w:eastAsia="宋体" w:cs="宋体"/>
          <w:color w:val="auto"/>
          <w:kern w:val="2"/>
          <w:sz w:val="24"/>
          <w:szCs w:val="24"/>
          <w:highlight w:val="none"/>
          <w:u w:val="none"/>
          <w:lang w:val="en-US" w:eastAsia="zh-CN" w:bidi="ar-SA"/>
        </w:rPr>
      </w:pPr>
    </w:p>
    <w:p w14:paraId="33131885">
      <w:pPr>
        <w:pStyle w:val="3"/>
        <w:ind w:firstLine="240" w:firstLineChars="100"/>
        <w:rPr>
          <w:rFonts w:hint="eastAsia" w:ascii="宋体" w:hAnsi="宋体" w:eastAsia="宋体" w:cs="宋体"/>
          <w:color w:val="auto"/>
          <w:kern w:val="2"/>
          <w:sz w:val="24"/>
          <w:szCs w:val="24"/>
          <w:highlight w:val="none"/>
          <w:u w:val="none"/>
          <w:lang w:val="en-US" w:eastAsia="zh-CN" w:bidi="ar-SA"/>
        </w:rPr>
      </w:pPr>
    </w:p>
    <w:p w14:paraId="7B448D8E">
      <w:pPr>
        <w:pStyle w:val="3"/>
        <w:ind w:firstLine="240" w:firstLineChars="100"/>
        <w:rPr>
          <w:rFonts w:hint="eastAsia" w:ascii="宋体" w:hAnsi="宋体" w:eastAsia="宋体" w:cs="宋体"/>
          <w:color w:val="auto"/>
          <w:kern w:val="2"/>
          <w:sz w:val="24"/>
          <w:szCs w:val="24"/>
          <w:highlight w:val="none"/>
          <w:u w:val="none"/>
          <w:lang w:val="en-US" w:eastAsia="zh-CN" w:bidi="ar-SA"/>
        </w:rPr>
      </w:pPr>
    </w:p>
    <w:p w14:paraId="658AEFE4">
      <w:pPr>
        <w:pStyle w:val="3"/>
        <w:ind w:firstLine="240" w:firstLineChars="100"/>
        <w:rPr>
          <w:rFonts w:hint="eastAsia" w:ascii="宋体" w:hAnsi="宋体" w:eastAsia="宋体" w:cs="宋体"/>
          <w:color w:val="auto"/>
          <w:kern w:val="2"/>
          <w:sz w:val="24"/>
          <w:szCs w:val="24"/>
          <w:highlight w:val="none"/>
          <w:u w:val="none"/>
          <w:lang w:val="en-US" w:eastAsia="zh-CN" w:bidi="ar-SA"/>
        </w:rPr>
      </w:pPr>
      <w:r>
        <w:rPr>
          <w:rFonts w:hint="eastAsia" w:ascii="宋体" w:hAnsi="宋体" w:eastAsia="宋体" w:cs="宋体"/>
          <w:color w:val="auto"/>
          <w:kern w:val="2"/>
          <w:sz w:val="24"/>
          <w:szCs w:val="24"/>
          <w:highlight w:val="none"/>
          <w:u w:val="none"/>
          <w:lang w:val="en-US" w:eastAsia="zh-CN" w:bidi="ar-SA"/>
        </w:rPr>
        <w:t>报价要求：</w:t>
      </w:r>
    </w:p>
    <w:p w14:paraId="7ED52B1E">
      <w:pPr>
        <w:pStyle w:val="4"/>
        <w:keepNext w:val="0"/>
        <w:keepLines w:val="0"/>
        <w:pageBreakBefore w:val="0"/>
        <w:widowControl/>
        <w:numPr>
          <w:ilvl w:val="0"/>
          <w:numId w:val="2"/>
        </w:numPr>
        <w:kinsoku/>
        <w:wordWrap/>
        <w:overflowPunct/>
        <w:topLinePunct w:val="0"/>
        <w:autoSpaceDE/>
        <w:autoSpaceDN/>
        <w:bidi w:val="0"/>
        <w:adjustRightInd/>
        <w:snapToGrid/>
        <w:spacing w:line="560" w:lineRule="exact"/>
        <w:ind w:left="238" w:leftChars="0" w:firstLine="0" w:firstLineChars="0"/>
        <w:jc w:val="left"/>
        <w:textAlignment w:val="auto"/>
        <w:rPr>
          <w:rFonts w:hint="eastAsia" w:ascii="宋体" w:hAnsi="宋体" w:eastAsia="宋体" w:cs="宋体"/>
          <w:color w:val="auto"/>
          <w:kern w:val="2"/>
          <w:sz w:val="24"/>
          <w:szCs w:val="24"/>
          <w:highlight w:val="none"/>
          <w:u w:val="single"/>
          <w:lang w:val="en-US" w:eastAsia="zh-CN" w:bidi="ar-SA"/>
        </w:rPr>
      </w:pPr>
      <w:r>
        <w:rPr>
          <w:rFonts w:hint="eastAsia" w:ascii="宋体" w:hAnsi="宋体" w:eastAsia="宋体" w:cs="宋体"/>
          <w:color w:val="auto"/>
          <w:kern w:val="2"/>
          <w:sz w:val="24"/>
          <w:szCs w:val="24"/>
          <w:highlight w:val="none"/>
          <w:u w:val="single"/>
          <w:lang w:val="en-US" w:eastAsia="zh-CN" w:bidi="ar-SA"/>
        </w:rPr>
        <w:t>按下浮率报价（保留两位小数，如8.88%），同时填报投标报价（投标报价=最高投标限价*（1-投标下浮率），四舍五入保留两位小数）。当投标报价与投标下浮率计算结果不一致时，以投标下浮率为准，按上述公式修订投标报价。</w:t>
      </w:r>
      <w:r>
        <w:rPr>
          <w:rFonts w:hint="eastAsia" w:ascii="宋体" w:hAnsi="宋体" w:eastAsia="宋体" w:cs="宋体"/>
          <w:color w:val="auto"/>
          <w:kern w:val="2"/>
          <w:sz w:val="24"/>
          <w:szCs w:val="24"/>
          <w:highlight w:val="none"/>
          <w:u w:val="single"/>
          <w:lang w:val="en-US" w:eastAsia="zh-CN" w:bidi="ar-SA"/>
        </w:rPr>
        <w:br w:type="textWrapping"/>
      </w:r>
      <w:r>
        <w:rPr>
          <w:rFonts w:hint="eastAsia" w:ascii="宋体" w:hAnsi="宋体" w:eastAsia="宋体" w:cs="宋体"/>
          <w:color w:val="auto"/>
          <w:kern w:val="2"/>
          <w:sz w:val="24"/>
          <w:szCs w:val="24"/>
          <w:highlight w:val="none"/>
          <w:u w:val="single"/>
          <w:lang w:val="en-US" w:eastAsia="zh-CN" w:bidi="ar-SA"/>
        </w:rPr>
        <w:t>（2）投标下浮率不低于0%为有效报价；当投标下浮率＞10%时应附成本分析报告，充分说明单价和费用的组成、降低成本的合理措施及在其他工程中应用过的经验等，经评审通过后方可视为有效报价。</w:t>
      </w:r>
      <w:r>
        <w:rPr>
          <w:rFonts w:hint="eastAsia" w:ascii="宋体" w:hAnsi="宋体" w:eastAsia="宋体" w:cs="宋体"/>
          <w:color w:val="auto"/>
          <w:kern w:val="2"/>
          <w:sz w:val="24"/>
          <w:szCs w:val="24"/>
          <w:highlight w:val="none"/>
          <w:u w:val="single"/>
          <w:lang w:val="en-US" w:eastAsia="zh-CN" w:bidi="ar-SA"/>
        </w:rPr>
        <w:br w:type="textWrapping"/>
      </w:r>
      <w:r>
        <w:rPr>
          <w:rFonts w:hint="eastAsia" w:ascii="宋体" w:hAnsi="宋体" w:eastAsia="宋体" w:cs="宋体"/>
          <w:color w:val="auto"/>
          <w:kern w:val="2"/>
          <w:sz w:val="24"/>
          <w:szCs w:val="24"/>
          <w:highlight w:val="none"/>
          <w:u w:val="single"/>
          <w:lang w:val="en-US" w:eastAsia="zh-CN" w:bidi="ar-SA"/>
        </w:rPr>
        <w:t>（3）价格分计算时，投标人评标价按（100-投标人填写的下浮数值）参与计算。如：下浮率为1.88％时，评标价按（100-1.88）参与计算。</w:t>
      </w:r>
    </w:p>
    <w:p w14:paraId="6B7F1239">
      <w:pPr>
        <w:numPr>
          <w:ilvl w:val="0"/>
          <w:numId w:val="0"/>
        </w:numPr>
        <w:ind w:left="240" w:leftChars="0"/>
        <w:rPr>
          <w:rFonts w:hint="default"/>
          <w:lang w:val="en-US" w:eastAsia="zh-CN"/>
        </w:rPr>
      </w:pPr>
    </w:p>
    <w:p w14:paraId="2B961359">
      <w:pPr>
        <w:pStyle w:val="6"/>
        <w:keepNext w:val="0"/>
        <w:keepLines w:val="0"/>
        <w:pageBreakBefore w:val="0"/>
        <w:numPr>
          <w:ilvl w:val="0"/>
          <w:numId w:val="0"/>
        </w:numPr>
        <w:kinsoku/>
        <w:wordWrap/>
        <w:overflowPunct/>
        <w:topLinePunct w:val="0"/>
        <w:bidi w:val="0"/>
        <w:spacing w:line="360" w:lineRule="auto"/>
        <w:ind w:leftChars="0"/>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四、结算方式</w:t>
      </w:r>
    </w:p>
    <w:p w14:paraId="6F0106BB">
      <w:pPr>
        <w:pStyle w:val="9"/>
        <w:keepNext w:val="0"/>
        <w:keepLines w:val="0"/>
        <w:pageBreakBefore w:val="0"/>
        <w:widowControl w:val="0"/>
        <w:kinsoku/>
        <w:wordWrap/>
        <w:overflowPunct/>
        <w:topLinePunct w:val="0"/>
        <w:autoSpaceDE/>
        <w:autoSpaceDN/>
        <w:bidi w:val="0"/>
        <w:adjustRightInd/>
        <w:snapToGrid/>
        <w:spacing w:line="560" w:lineRule="exact"/>
        <w:ind w:left="0" w:leftChars="0" w:firstLine="480" w:firstLineChars="200"/>
        <w:textAlignment w:val="auto"/>
        <w:rPr>
          <w:rFonts w:hint="eastAsia" w:ascii="宋体" w:hAnsi="宋体" w:eastAsia="宋体" w:cs="宋体"/>
          <w:color w:val="auto"/>
          <w:szCs w:val="21"/>
          <w:highlight w:val="none"/>
          <w:u w:val="single"/>
        </w:rPr>
      </w:pPr>
      <w:r>
        <w:rPr>
          <w:rFonts w:hint="eastAsia" w:ascii="宋体" w:hAnsi="宋体" w:eastAsia="宋体" w:cs="宋体"/>
          <w:color w:val="auto"/>
          <w:kern w:val="2"/>
          <w:sz w:val="24"/>
          <w:szCs w:val="24"/>
          <w:highlight w:val="none"/>
          <w:u w:val="single"/>
          <w:lang w:val="en-US" w:eastAsia="zh-CN" w:bidi="ar-SA"/>
        </w:rPr>
        <w:t xml:space="preserve"> </w:t>
      </w:r>
      <w:r>
        <w:rPr>
          <w:rFonts w:hint="eastAsia" w:ascii="宋体" w:hAnsi="宋体" w:eastAsia="宋体" w:cs="宋体"/>
          <w:b w:val="0"/>
          <w:bCs w:val="0"/>
          <w:color w:val="auto"/>
          <w:kern w:val="2"/>
          <w:sz w:val="21"/>
          <w:szCs w:val="21"/>
          <w:highlight w:val="none"/>
          <w:u w:val="single"/>
          <w:lang w:val="en-US" w:eastAsia="zh-CN" w:bidi="ar-SA"/>
        </w:rPr>
        <w:t>本合同为暂定价合同，最终合同结算价为：（审定初步设计概算监理费+ 初设概算监理计费范围以外的监理工作费用）×（1-投标下浮率）+监理增加费±合同内约定且实际发生的相关奖罚费用 + 招标代理服务费</w:t>
      </w:r>
      <w:r>
        <w:rPr>
          <w:rFonts w:hint="eastAsia" w:ascii="宋体" w:hAnsi="宋体" w:eastAsia="宋体" w:cs="宋体"/>
          <w:color w:val="auto"/>
          <w:szCs w:val="21"/>
          <w:highlight w:val="none"/>
          <w:u w:val="single"/>
        </w:rPr>
        <w:t>。</w:t>
      </w:r>
    </w:p>
    <w:p w14:paraId="1B46B0B3">
      <w:pPr>
        <w:pStyle w:val="9"/>
        <w:keepNext w:val="0"/>
        <w:keepLines w:val="0"/>
        <w:pageBreakBefore w:val="0"/>
        <w:widowControl w:val="0"/>
        <w:kinsoku/>
        <w:wordWrap/>
        <w:overflowPunct/>
        <w:topLinePunct w:val="0"/>
        <w:autoSpaceDE/>
        <w:autoSpaceDN/>
        <w:bidi w:val="0"/>
        <w:adjustRightInd/>
        <w:snapToGrid/>
        <w:spacing w:line="560" w:lineRule="exact"/>
        <w:ind w:left="0" w:leftChars="0" w:firstLine="420" w:firstLineChars="200"/>
        <w:textAlignment w:val="auto"/>
        <w:rPr>
          <w:rFonts w:hint="eastAsia" w:ascii="宋体" w:hAnsi="宋体" w:eastAsia="宋体" w:cs="宋体"/>
          <w:color w:val="auto"/>
          <w:szCs w:val="21"/>
          <w:highlight w:val="none"/>
          <w:u w:val="single"/>
          <w:lang w:val="en-US" w:eastAsia="zh-CN"/>
        </w:rPr>
      </w:pPr>
      <w:r>
        <w:rPr>
          <w:rFonts w:hint="eastAsia" w:ascii="宋体" w:hAnsi="宋体" w:eastAsia="宋体" w:cs="宋体"/>
          <w:color w:val="auto"/>
          <w:szCs w:val="21"/>
          <w:highlight w:val="none"/>
          <w:u w:val="single"/>
          <w:lang w:val="en-US" w:eastAsia="zh-CN"/>
        </w:rPr>
        <w:t>其中：</w:t>
      </w:r>
    </w:p>
    <w:p w14:paraId="4DEA3C7D">
      <w:pPr>
        <w:pStyle w:val="9"/>
        <w:keepNext w:val="0"/>
        <w:keepLines w:val="0"/>
        <w:pageBreakBefore w:val="0"/>
        <w:widowControl w:val="0"/>
        <w:kinsoku/>
        <w:wordWrap/>
        <w:overflowPunct/>
        <w:topLinePunct w:val="0"/>
        <w:autoSpaceDE/>
        <w:autoSpaceDN/>
        <w:bidi w:val="0"/>
        <w:adjustRightInd/>
        <w:snapToGrid/>
        <w:spacing w:line="560" w:lineRule="exact"/>
        <w:ind w:left="0" w:leftChars="0" w:firstLine="420" w:firstLineChars="200"/>
        <w:textAlignment w:val="auto"/>
        <w:rPr>
          <w:rFonts w:hint="eastAsia" w:ascii="宋体" w:hAnsi="宋体" w:eastAsia="宋体" w:cs="宋体"/>
          <w:color w:val="auto"/>
          <w:szCs w:val="21"/>
          <w:highlight w:val="none"/>
          <w:u w:val="single"/>
          <w:lang w:val="en-US" w:eastAsia="zh-CN"/>
        </w:rPr>
      </w:pPr>
      <w:r>
        <w:rPr>
          <w:rFonts w:hint="eastAsia" w:ascii="宋体" w:hAnsi="宋体" w:eastAsia="宋体" w:cs="宋体"/>
          <w:color w:val="auto"/>
          <w:szCs w:val="21"/>
          <w:highlight w:val="none"/>
          <w:u w:val="single"/>
          <w:lang w:val="en-US" w:eastAsia="zh-CN"/>
        </w:rPr>
        <w:t>（1）审定初步设计概算监理费：须与中标单位在本项目中参与的项目实施阶段对应，结算时由业主项目部进行复核确认。如中标单位未参与勘察设计阶段的监理工作，需扣除13%的监理费；如中标单位参与勘察设计阶段的监理工作，则按其所参与的阶段分别计取：勘察阶段按3%，初步设计阶段按4%、施工图设计阶段按6%。</w:t>
      </w:r>
    </w:p>
    <w:p w14:paraId="7C6AE5D5">
      <w:pPr>
        <w:pStyle w:val="9"/>
        <w:keepNext w:val="0"/>
        <w:keepLines w:val="0"/>
        <w:pageBreakBefore w:val="0"/>
        <w:widowControl w:val="0"/>
        <w:kinsoku/>
        <w:wordWrap/>
        <w:overflowPunct/>
        <w:topLinePunct w:val="0"/>
        <w:autoSpaceDE/>
        <w:autoSpaceDN/>
        <w:bidi w:val="0"/>
        <w:adjustRightInd/>
        <w:snapToGrid/>
        <w:spacing w:line="560" w:lineRule="exact"/>
        <w:ind w:left="0" w:leftChars="0" w:firstLine="420" w:firstLineChars="200"/>
        <w:textAlignment w:val="auto"/>
        <w:rPr>
          <w:rFonts w:hint="eastAsia" w:ascii="宋体" w:hAnsi="宋体" w:eastAsia="宋体" w:cs="宋体"/>
          <w:color w:val="auto"/>
          <w:szCs w:val="21"/>
          <w:highlight w:val="none"/>
          <w:u w:val="single"/>
          <w:lang w:val="en-US" w:eastAsia="zh-CN"/>
        </w:rPr>
      </w:pPr>
      <w:r>
        <w:rPr>
          <w:rFonts w:hint="eastAsia" w:ascii="宋体" w:hAnsi="宋体" w:eastAsia="宋体" w:cs="宋体"/>
          <w:color w:val="auto"/>
          <w:szCs w:val="21"/>
          <w:highlight w:val="none"/>
          <w:u w:val="single"/>
          <w:lang w:val="en-US" w:eastAsia="zh-CN"/>
        </w:rPr>
        <w:t>因规模变化需要调整可研、初设、施工图的，结算价按调整后批复的初设概算对应参与阶段的监理费用×（1-投标下浮率）+监理增加费进行结算。</w:t>
      </w:r>
    </w:p>
    <w:p w14:paraId="184CFB21">
      <w:pPr>
        <w:pStyle w:val="9"/>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420" w:firstLineChars="200"/>
        <w:textAlignment w:val="auto"/>
        <w:rPr>
          <w:rFonts w:hint="eastAsia" w:ascii="宋体" w:hAnsi="宋体" w:eastAsia="宋体" w:cs="宋体"/>
          <w:color w:val="auto"/>
          <w:szCs w:val="21"/>
          <w:highlight w:val="none"/>
          <w:u w:val="none"/>
          <w:lang w:val="en-US" w:eastAsia="zh-CN"/>
        </w:rPr>
      </w:pPr>
      <w:r>
        <w:rPr>
          <w:rFonts w:hint="eastAsia" w:ascii="宋体" w:hAnsi="宋体" w:eastAsia="宋体" w:cs="宋体"/>
          <w:color w:val="auto"/>
          <w:szCs w:val="21"/>
          <w:highlight w:val="none"/>
          <w:u w:val="none"/>
          <w:lang w:val="en-US" w:eastAsia="zh-CN"/>
        </w:rPr>
        <w:t>因监理增加费造成结算费用超过以审定的概算为基数的监理费的，按上述公式和审定的概算为基数的监理费两者较低值进行结算。</w:t>
      </w:r>
    </w:p>
    <w:p w14:paraId="519E8E7A">
      <w:pPr>
        <w:pStyle w:val="9"/>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420" w:firstLineChars="200"/>
        <w:textAlignment w:val="auto"/>
        <w:rPr>
          <w:rFonts w:hint="eastAsia" w:ascii="宋体" w:hAnsi="宋体" w:eastAsia="宋体" w:cs="宋体"/>
          <w:color w:val="auto"/>
          <w:szCs w:val="21"/>
          <w:highlight w:val="none"/>
          <w:u w:val="none"/>
          <w:lang w:val="en-US" w:eastAsia="zh-CN"/>
        </w:rPr>
      </w:pPr>
      <w:r>
        <w:rPr>
          <w:rFonts w:hint="eastAsia" w:ascii="宋体" w:hAnsi="宋体" w:eastAsia="宋体" w:cs="宋体"/>
          <w:color w:val="auto"/>
          <w:szCs w:val="21"/>
          <w:highlight w:val="none"/>
          <w:u w:val="none"/>
          <w:lang w:val="en-US" w:eastAsia="zh-CN"/>
        </w:rPr>
        <w:t>注：监理增加费按《公司基于本质安全管理的主网基建项目施工监理费用指导意见讨论会纪要》（输配电〔2025〕第 66 期）执行。</w:t>
      </w:r>
    </w:p>
    <w:p w14:paraId="065583D4">
      <w:pPr>
        <w:pStyle w:val="9"/>
        <w:keepNext w:val="0"/>
        <w:keepLines w:val="0"/>
        <w:pageBreakBefore w:val="0"/>
        <w:widowControl w:val="0"/>
        <w:kinsoku/>
        <w:wordWrap/>
        <w:overflowPunct/>
        <w:topLinePunct w:val="0"/>
        <w:autoSpaceDE/>
        <w:autoSpaceDN/>
        <w:bidi w:val="0"/>
        <w:adjustRightInd/>
        <w:snapToGrid/>
        <w:spacing w:line="560" w:lineRule="exact"/>
        <w:ind w:left="0" w:leftChars="0" w:firstLine="420" w:firstLineChars="200"/>
        <w:textAlignment w:val="auto"/>
        <w:rPr>
          <w:rFonts w:hint="eastAsia" w:ascii="宋体" w:hAnsi="宋体" w:eastAsia="宋体" w:cs="宋体"/>
          <w:color w:val="auto"/>
          <w:szCs w:val="21"/>
          <w:highlight w:val="none"/>
          <w:u w:val="single"/>
          <w:lang w:val="en-US" w:eastAsia="zh-CN"/>
        </w:rPr>
      </w:pPr>
      <w:r>
        <w:rPr>
          <w:rFonts w:hint="eastAsia" w:ascii="宋体" w:hAnsi="宋体" w:eastAsia="宋体" w:cs="宋体"/>
          <w:color w:val="auto"/>
          <w:szCs w:val="21"/>
          <w:highlight w:val="none"/>
          <w:u w:val="single"/>
          <w:lang w:val="en-US" w:eastAsia="zh-CN"/>
        </w:rPr>
        <w:t>（2）“初设概算监理计费范围以外的监理工作”包括但不限于：监理单位对路面修复（含市政路面、公路等）、交通疏解、跨（穿）越铁路/公路、管线迁移、绿化迁移、林木砍伐等各项取费基数不包含在初设概算监理费计费基数中的非本体工程的监理见证工作。其监理费用取费基数为初设概算监理计费范围以外实际发生、且经由监理人见证确认部分的工程费用，该工程费用以业主项目部或第三方审核机构审定的为准；取费费率按照《关于落实《国家发展改革委关于进一步放开建设项目专业服务价格的通知》(发改价格[2015]299号)的指导意见（中电联定额[2015]162号文）》相关规定执行，不足部分参照相关行业费用计算规定执行。项目实施过程中如有最新规定，按新的政策性文件执行。</w:t>
      </w:r>
    </w:p>
    <w:p w14:paraId="5CFC0891">
      <w:pPr>
        <w:pStyle w:val="9"/>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420" w:firstLineChars="200"/>
        <w:textAlignment w:val="auto"/>
        <w:rPr>
          <w:rFonts w:hint="eastAsia" w:ascii="宋体" w:hAnsi="宋体" w:eastAsia="宋体" w:cs="宋体"/>
          <w:color w:val="auto"/>
          <w:szCs w:val="21"/>
          <w:highlight w:val="none"/>
          <w:u w:val="single"/>
          <w:lang w:val="en-US" w:eastAsia="zh-CN"/>
        </w:rPr>
      </w:pPr>
      <w:r>
        <w:rPr>
          <w:rFonts w:hint="eastAsia" w:ascii="宋体" w:hAnsi="宋体" w:eastAsia="宋体" w:cs="宋体"/>
          <w:color w:val="auto"/>
          <w:szCs w:val="21"/>
          <w:highlight w:val="none"/>
          <w:u w:val="single"/>
          <w:lang w:val="en-US" w:eastAsia="zh-CN"/>
        </w:rPr>
        <w:t>（3）招标代理服务费按实际支付给招标代理的费用为准，监理人可在预付款申请或进度款申请时同时申请支付。</w:t>
      </w:r>
    </w:p>
    <w:p w14:paraId="3856A92D">
      <w:pPr>
        <w:pStyle w:val="9"/>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420" w:firstLineChars="200"/>
        <w:textAlignment w:val="auto"/>
        <w:rPr>
          <w:rFonts w:hint="eastAsia" w:ascii="宋体" w:hAnsi="宋体" w:eastAsia="宋体" w:cs="宋体"/>
          <w:color w:val="auto"/>
          <w:szCs w:val="21"/>
          <w:highlight w:val="none"/>
          <w:u w:val="single"/>
          <w:lang w:val="en-US" w:eastAsia="zh-CN"/>
        </w:rPr>
      </w:pPr>
      <w:r>
        <w:rPr>
          <w:rFonts w:hint="eastAsia" w:ascii="宋体" w:hAnsi="宋体" w:eastAsia="宋体" w:cs="宋体"/>
          <w:color w:val="auto"/>
          <w:szCs w:val="21"/>
          <w:highlight w:val="none"/>
          <w:u w:val="single"/>
          <w:lang w:val="en-US" w:eastAsia="zh-CN"/>
        </w:rPr>
        <w:t>（4）投标下浮率（%）＝（1-投标报价/最高投标限价）×100%。</w:t>
      </w:r>
    </w:p>
    <w:p w14:paraId="677D2FE2">
      <w:pPr>
        <w:pStyle w:val="9"/>
        <w:shd w:val="clear" w:color="auto" w:fill="auto"/>
        <w:spacing w:line="360" w:lineRule="auto"/>
        <w:ind w:left="0" w:leftChars="0" w:firstLine="420" w:firstLineChars="200"/>
        <w:rPr>
          <w:rFonts w:hint="eastAsia" w:ascii="宋体" w:hAnsi="宋体" w:eastAsia="宋体" w:cs="宋体"/>
          <w:color w:val="auto"/>
          <w:szCs w:val="21"/>
          <w:highlight w:val="none"/>
          <w:u w:val="single"/>
          <w:lang w:val="en-US" w:eastAsia="zh-CN"/>
        </w:rPr>
      </w:pPr>
    </w:p>
    <w:p w14:paraId="271A9F7F">
      <w:pPr>
        <w:keepNext w:val="0"/>
        <w:keepLines w:val="0"/>
        <w:pageBreakBefore w:val="0"/>
        <w:widowControl w:val="0"/>
        <w:kinsoku/>
        <w:wordWrap/>
        <w:overflowPunct/>
        <w:topLinePunct w:val="0"/>
        <w:autoSpaceDE/>
        <w:autoSpaceDN/>
        <w:bidi w:val="0"/>
        <w:adjustRightInd/>
        <w:snapToGrid/>
        <w:spacing w:before="157" w:beforeLines="50" w:after="157" w:afterLines="50" w:line="480" w:lineRule="auto"/>
        <w:textAlignment w:val="auto"/>
        <w:rPr>
          <w:rFonts w:hint="default" w:asciiTheme="minorEastAsia" w:hAnsiTheme="minorEastAsia" w:eastAsiaTheme="minorEastAsia" w:cstheme="minorEastAsia"/>
          <w:b/>
          <w:bCs/>
          <w:i w:val="0"/>
          <w:iCs/>
          <w:color w:val="auto"/>
          <w:kern w:val="2"/>
          <w:sz w:val="24"/>
          <w:szCs w:val="24"/>
          <w:highlight w:val="none"/>
          <w:u w:val="none"/>
          <w:lang w:val="en-US" w:eastAsia="zh-CN" w:bidi="ar-SA"/>
        </w:rPr>
      </w:pPr>
      <w:r>
        <w:rPr>
          <w:rFonts w:hint="eastAsia" w:asciiTheme="minorEastAsia" w:hAnsiTheme="minorEastAsia" w:eastAsiaTheme="minorEastAsia" w:cstheme="minorEastAsia"/>
          <w:b/>
          <w:bCs/>
          <w:i w:val="0"/>
          <w:color w:val="auto"/>
          <w:kern w:val="2"/>
          <w:sz w:val="24"/>
          <w:szCs w:val="24"/>
          <w:highlight w:val="none"/>
          <w:u w:val="none"/>
          <w:lang w:val="en-US" w:eastAsia="zh-CN" w:bidi="ar-SA"/>
        </w:rPr>
        <w:t>五、分包要求</w:t>
      </w:r>
    </w:p>
    <w:p w14:paraId="1DCD87BC">
      <w:pPr>
        <w:pStyle w:val="2"/>
        <w:numPr>
          <w:ilvl w:val="0"/>
          <w:numId w:val="0"/>
        </w:numPr>
        <w:rPr>
          <w:rFonts w:hint="eastAsia"/>
          <w:sz w:val="24"/>
          <w:szCs w:val="24"/>
          <w:highlight w:val="none"/>
          <w:lang w:eastAsia="zh-CN"/>
        </w:rPr>
      </w:pPr>
      <w:r>
        <w:rPr>
          <w:rFonts w:hint="default" w:ascii="Wingdings" w:hAnsi="Wingdings" w:cs="Wingdings"/>
          <w:sz w:val="24"/>
          <w:szCs w:val="24"/>
          <w:highlight w:val="none"/>
        </w:rPr>
        <w:sym w:font="Wingdings" w:char="00FE"/>
      </w:r>
      <w:r>
        <w:rPr>
          <w:rFonts w:hint="eastAsia"/>
          <w:sz w:val="24"/>
          <w:szCs w:val="24"/>
          <w:highlight w:val="none"/>
          <w:lang w:eastAsia="zh-CN"/>
        </w:rPr>
        <w:t>不允许分包</w:t>
      </w:r>
    </w:p>
    <w:p w14:paraId="78F1C7FE">
      <w:pPr>
        <w:pStyle w:val="2"/>
        <w:numPr>
          <w:ilvl w:val="0"/>
          <w:numId w:val="0"/>
        </w:numPr>
        <w:rPr>
          <w:rFonts w:hint="eastAsia"/>
          <w:sz w:val="24"/>
          <w:szCs w:val="24"/>
          <w:highlight w:val="none"/>
          <w:lang w:eastAsia="zh-CN"/>
        </w:rPr>
      </w:pPr>
      <w:r>
        <w:rPr>
          <w:rFonts w:hint="default" w:ascii="Wingdings" w:hAnsi="Wingdings" w:cs="Wingdings"/>
          <w:sz w:val="24"/>
          <w:szCs w:val="24"/>
          <w:highlight w:val="none"/>
          <w:lang w:eastAsia="zh-CN"/>
        </w:rPr>
        <w:sym w:font="Wingdings" w:char="00A8"/>
      </w:r>
      <w:r>
        <w:rPr>
          <w:rFonts w:hint="eastAsia"/>
          <w:sz w:val="24"/>
          <w:szCs w:val="24"/>
          <w:highlight w:val="none"/>
          <w:lang w:eastAsia="zh-CN"/>
        </w:rPr>
        <w:t>允许分包，但必须符合以下要求：</w:t>
      </w:r>
    </w:p>
    <w:p w14:paraId="1275E8D6">
      <w:pPr>
        <w:pStyle w:val="4"/>
        <w:jc w:val="left"/>
        <w:rPr>
          <w:rFonts w:hint="eastAsia" w:ascii="宋体" w:hAnsi="宋体" w:eastAsia="宋体" w:cs="宋体"/>
          <w:color w:val="auto"/>
          <w:kern w:val="2"/>
          <w:sz w:val="24"/>
          <w:szCs w:val="24"/>
          <w:highlight w:val="none"/>
          <w:u w:val="single"/>
          <w:lang w:val="en-US" w:eastAsia="zh-CN" w:bidi="ar-SA"/>
        </w:rPr>
      </w:pPr>
      <w:r>
        <w:rPr>
          <w:rFonts w:hint="eastAsia" w:ascii="宋体" w:hAnsi="宋体" w:eastAsia="宋体" w:cs="宋体"/>
          <w:color w:val="auto"/>
          <w:kern w:val="2"/>
          <w:sz w:val="24"/>
          <w:szCs w:val="24"/>
          <w:highlight w:val="none"/>
          <w:u w:val="single"/>
          <w:lang w:val="en-US" w:eastAsia="zh-CN" w:bidi="ar-SA"/>
        </w:rPr>
        <w:t xml:space="preserve">                                      /                                     </w:t>
      </w:r>
    </w:p>
    <w:p w14:paraId="2768857D">
      <w:pPr>
        <w:rPr>
          <w:rFonts w:hint="eastAsia" w:asciiTheme="minorEastAsia" w:hAnsiTheme="minorEastAsia" w:eastAsiaTheme="minorEastAsia" w:cstheme="minorEastAsia"/>
          <w:b/>
          <w:bCs/>
          <w:snapToGrid w:val="0"/>
          <w:color w:val="auto"/>
          <w:kern w:val="0"/>
          <w:sz w:val="28"/>
          <w:szCs w:val="28"/>
          <w:highlight w:val="none"/>
          <w:u w:val="none"/>
          <w:lang w:val="en-US" w:eastAsia="zh-CN"/>
        </w:rPr>
      </w:pPr>
      <w:r>
        <w:rPr>
          <w:rFonts w:hint="eastAsia" w:asciiTheme="minorEastAsia" w:hAnsiTheme="minorEastAsia" w:eastAsiaTheme="minorEastAsia" w:cstheme="minorEastAsia"/>
          <w:b/>
          <w:bCs/>
          <w:snapToGrid w:val="0"/>
          <w:color w:val="auto"/>
          <w:kern w:val="0"/>
          <w:sz w:val="28"/>
          <w:szCs w:val="28"/>
          <w:highlight w:val="none"/>
          <w:u w:val="none"/>
          <w:lang w:val="en-US" w:eastAsia="zh-CN"/>
        </w:rPr>
        <w:br w:type="page"/>
      </w:r>
    </w:p>
    <w:p w14:paraId="7E6B51AF">
      <w:pPr>
        <w:pStyle w:val="10"/>
        <w:keepNext w:val="0"/>
        <w:keepLines w:val="0"/>
        <w:pageBreakBefore w:val="0"/>
        <w:widowControl w:val="0"/>
        <w:numPr>
          <w:ilvl w:val="0"/>
          <w:numId w:val="3"/>
        </w:numPr>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snapToGrid w:val="0"/>
          <w:color w:val="auto"/>
          <w:kern w:val="0"/>
          <w:sz w:val="28"/>
          <w:szCs w:val="28"/>
          <w:highlight w:val="none"/>
          <w:u w:val="none"/>
          <w:lang w:val="en-US" w:eastAsia="zh-CN"/>
        </w:rPr>
      </w:pPr>
      <w:r>
        <w:rPr>
          <w:rFonts w:hint="eastAsia" w:asciiTheme="minorEastAsia" w:hAnsiTheme="minorEastAsia" w:eastAsiaTheme="minorEastAsia" w:cstheme="minorEastAsia"/>
          <w:b/>
          <w:bCs/>
          <w:snapToGrid w:val="0"/>
          <w:color w:val="auto"/>
          <w:kern w:val="0"/>
          <w:sz w:val="28"/>
          <w:szCs w:val="28"/>
          <w:highlight w:val="none"/>
          <w:u w:val="none"/>
          <w:lang w:val="en-US" w:eastAsia="zh-CN"/>
        </w:rPr>
        <w:t>技术标准、要求及图纸（对应招标文件 第五章）</w:t>
      </w:r>
    </w:p>
    <w:p w14:paraId="1D1FB3A4">
      <w:pPr>
        <w:pStyle w:val="6"/>
        <w:spacing w:before="0" w:after="0" w:line="240" w:lineRule="auto"/>
        <w:rPr>
          <w:rFonts w:hint="eastAsia" w:asciiTheme="minorEastAsia" w:hAnsiTheme="minorEastAsia" w:eastAsiaTheme="minorEastAsia" w:cstheme="minorEastAsia"/>
          <w:i w:val="0"/>
          <w:iCs/>
          <w:color w:val="auto"/>
          <w:sz w:val="24"/>
          <w:szCs w:val="24"/>
          <w:highlight w:val="none"/>
        </w:rPr>
      </w:pPr>
      <w:bookmarkStart w:id="1" w:name="_Toc508286565"/>
      <w:r>
        <w:rPr>
          <w:rFonts w:hint="eastAsia" w:asciiTheme="minorEastAsia" w:hAnsiTheme="minorEastAsia" w:eastAsiaTheme="minorEastAsia" w:cstheme="minorEastAsia"/>
          <w:i w:val="0"/>
          <w:iCs/>
          <w:color w:val="auto"/>
          <w:sz w:val="24"/>
          <w:szCs w:val="24"/>
          <w:highlight w:val="none"/>
          <w:lang w:eastAsia="zh-CN"/>
        </w:rPr>
        <w:t>一、</w:t>
      </w:r>
      <w:r>
        <w:rPr>
          <w:rFonts w:hint="eastAsia" w:asciiTheme="minorEastAsia" w:hAnsiTheme="minorEastAsia" w:eastAsiaTheme="minorEastAsia" w:cstheme="minorEastAsia"/>
          <w:i w:val="0"/>
          <w:iCs/>
          <w:color w:val="auto"/>
          <w:sz w:val="24"/>
          <w:szCs w:val="24"/>
          <w:highlight w:val="none"/>
        </w:rPr>
        <w:t xml:space="preserve"> 管理规范和技术（规范）标准（</w:t>
      </w:r>
      <w:r>
        <w:rPr>
          <w:rFonts w:hint="eastAsia" w:asciiTheme="minorEastAsia" w:hAnsiTheme="minorEastAsia" w:eastAsiaTheme="minorEastAsia" w:cstheme="minorEastAsia"/>
          <w:i w:val="0"/>
          <w:iCs/>
          <w:color w:val="auto"/>
          <w:sz w:val="24"/>
          <w:szCs w:val="24"/>
          <w:highlight w:val="none"/>
          <w:lang w:eastAsia="zh-CN"/>
        </w:rPr>
        <w:t>详见</w:t>
      </w:r>
      <w:r>
        <w:rPr>
          <w:rFonts w:hint="eastAsia" w:asciiTheme="minorEastAsia" w:hAnsiTheme="minorEastAsia" w:eastAsiaTheme="minorEastAsia" w:cstheme="minorEastAsia"/>
          <w:i w:val="0"/>
          <w:iCs/>
          <w:color w:val="auto"/>
          <w:sz w:val="24"/>
          <w:szCs w:val="24"/>
          <w:highlight w:val="none"/>
        </w:rPr>
        <w:t>合同附件）</w:t>
      </w:r>
      <w:bookmarkEnd w:id="1"/>
    </w:p>
    <w:p w14:paraId="092B6E51">
      <w:pPr>
        <w:pStyle w:val="10"/>
        <w:rPr>
          <w:rFonts w:hint="eastAsia" w:asciiTheme="minorEastAsia" w:hAnsiTheme="minorEastAsia" w:eastAsiaTheme="minorEastAsia" w:cstheme="minorEastAsia"/>
          <w:i w:val="0"/>
          <w:iCs/>
          <w:color w:val="auto"/>
          <w:sz w:val="24"/>
          <w:szCs w:val="24"/>
          <w:highlight w:val="none"/>
        </w:rPr>
      </w:pPr>
    </w:p>
    <w:p w14:paraId="5EBCE614">
      <w:pPr>
        <w:pStyle w:val="6"/>
        <w:spacing w:before="0" w:after="0" w:line="240" w:lineRule="auto"/>
        <w:rPr>
          <w:rFonts w:hint="eastAsia" w:asciiTheme="minorEastAsia" w:hAnsiTheme="minorEastAsia" w:eastAsiaTheme="minorEastAsia" w:cstheme="minorEastAsia"/>
          <w:i w:val="0"/>
          <w:iCs/>
          <w:color w:val="auto"/>
          <w:sz w:val="24"/>
          <w:szCs w:val="24"/>
          <w:highlight w:val="none"/>
        </w:rPr>
      </w:pPr>
      <w:bookmarkStart w:id="2" w:name="_Toc508286566"/>
      <w:r>
        <w:rPr>
          <w:rFonts w:hint="eastAsia" w:asciiTheme="minorEastAsia" w:hAnsiTheme="minorEastAsia" w:eastAsiaTheme="minorEastAsia" w:cstheme="minorEastAsia"/>
          <w:i w:val="0"/>
          <w:iCs/>
          <w:color w:val="auto"/>
          <w:sz w:val="24"/>
          <w:szCs w:val="24"/>
          <w:highlight w:val="none"/>
          <w:lang w:eastAsia="zh-CN"/>
        </w:rPr>
        <w:t>二、</w:t>
      </w:r>
      <w:r>
        <w:rPr>
          <w:rFonts w:hint="eastAsia" w:asciiTheme="minorEastAsia" w:hAnsiTheme="minorEastAsia" w:eastAsiaTheme="minorEastAsia" w:cstheme="minorEastAsia"/>
          <w:i w:val="0"/>
          <w:iCs/>
          <w:color w:val="auto"/>
          <w:sz w:val="24"/>
          <w:szCs w:val="24"/>
          <w:highlight w:val="none"/>
        </w:rPr>
        <w:t>技术</w:t>
      </w:r>
      <w:r>
        <w:rPr>
          <w:rFonts w:hint="eastAsia" w:asciiTheme="minorEastAsia" w:hAnsiTheme="minorEastAsia" w:eastAsiaTheme="minorEastAsia" w:cstheme="minorEastAsia"/>
          <w:i w:val="0"/>
          <w:iCs/>
          <w:color w:val="auto"/>
          <w:sz w:val="24"/>
          <w:szCs w:val="24"/>
          <w:highlight w:val="none"/>
          <w:lang w:val="en-US" w:eastAsia="zh-CN"/>
        </w:rPr>
        <w:t>及管理</w:t>
      </w:r>
      <w:r>
        <w:rPr>
          <w:rFonts w:hint="eastAsia" w:asciiTheme="minorEastAsia" w:hAnsiTheme="minorEastAsia" w:eastAsiaTheme="minorEastAsia" w:cstheme="minorEastAsia"/>
          <w:i w:val="0"/>
          <w:iCs/>
          <w:color w:val="auto"/>
          <w:sz w:val="24"/>
          <w:szCs w:val="24"/>
          <w:highlight w:val="none"/>
        </w:rPr>
        <w:t>要求</w:t>
      </w:r>
      <w:bookmarkEnd w:id="2"/>
    </w:p>
    <w:p w14:paraId="2920E4EB">
      <w:pPr>
        <w:keepNext w:val="0"/>
        <w:keepLines w:val="0"/>
        <w:pageBreakBefore w:val="0"/>
        <w:widowControl w:val="0"/>
        <w:kinsoku/>
        <w:wordWrap/>
        <w:overflowPunct/>
        <w:topLinePunct w:val="0"/>
        <w:autoSpaceDE w:val="0"/>
        <w:autoSpaceDN w:val="0"/>
        <w:bidi w:val="0"/>
        <w:adjustRightInd w:val="0"/>
        <w:snapToGrid/>
        <w:spacing w:line="340" w:lineRule="exact"/>
        <w:textAlignment w:val="auto"/>
        <w:rPr>
          <w:rFonts w:hint="eastAsia" w:asciiTheme="minorEastAsia" w:hAnsiTheme="minorEastAsia" w:eastAsiaTheme="minorEastAsia" w:cstheme="minorEastAsia"/>
          <w:b w:val="0"/>
          <w:bCs/>
          <w:i w:val="0"/>
          <w:iCs/>
          <w:color w:val="auto"/>
          <w:kern w:val="0"/>
          <w:sz w:val="24"/>
          <w:szCs w:val="24"/>
          <w:highlight w:val="none"/>
          <w:lang w:val="zh-CN"/>
        </w:rPr>
      </w:pPr>
      <w:r>
        <w:rPr>
          <w:rFonts w:hint="eastAsia" w:asciiTheme="minorEastAsia" w:hAnsiTheme="minorEastAsia" w:eastAsiaTheme="minorEastAsia" w:cstheme="minorEastAsia"/>
          <w:i w:val="0"/>
          <w:iCs/>
          <w:color w:val="auto"/>
          <w:kern w:val="0"/>
          <w:sz w:val="24"/>
          <w:szCs w:val="24"/>
          <w:highlight w:val="none"/>
          <w:lang w:val="zh-CN"/>
        </w:rPr>
        <w:t>（一）满足中国南方电网有限责任公司《监理项目部工作手册》、中国南方电网有限责任公司基建管理制度、建设单位的质量、环境和职业健康安全管理体系文件、其他有关制度和规定。</w:t>
      </w:r>
      <w:r>
        <w:rPr>
          <w:rFonts w:hint="eastAsia" w:asciiTheme="minorEastAsia" w:hAnsiTheme="minorEastAsia" w:eastAsiaTheme="minorEastAsia" w:cstheme="minorEastAsia"/>
          <w:b w:val="0"/>
          <w:bCs/>
          <w:i w:val="0"/>
          <w:iCs/>
          <w:color w:val="auto"/>
          <w:kern w:val="0"/>
          <w:sz w:val="24"/>
          <w:szCs w:val="24"/>
          <w:highlight w:val="none"/>
          <w:lang w:val="zh-CN"/>
        </w:rPr>
        <w:t>（二）符合图纸及技术文件的要求。</w:t>
      </w:r>
    </w:p>
    <w:p w14:paraId="0FE2942E">
      <w:pPr>
        <w:keepNext w:val="0"/>
        <w:keepLines w:val="0"/>
        <w:pageBreakBefore w:val="0"/>
        <w:widowControl w:val="0"/>
        <w:kinsoku/>
        <w:wordWrap/>
        <w:overflowPunct/>
        <w:topLinePunct w:val="0"/>
        <w:autoSpaceDE w:val="0"/>
        <w:autoSpaceDN w:val="0"/>
        <w:bidi w:val="0"/>
        <w:adjustRightInd w:val="0"/>
        <w:snapToGrid/>
        <w:spacing w:line="340" w:lineRule="exact"/>
        <w:textAlignment w:val="auto"/>
        <w:rPr>
          <w:rFonts w:hint="eastAsia" w:asciiTheme="minorEastAsia" w:hAnsiTheme="minorEastAsia" w:eastAsiaTheme="minorEastAsia" w:cstheme="minorEastAsia"/>
          <w:b w:val="0"/>
          <w:bCs w:val="0"/>
          <w:i w:val="0"/>
          <w:color w:val="auto"/>
          <w:kern w:val="2"/>
          <w:sz w:val="24"/>
          <w:szCs w:val="24"/>
          <w:highlight w:val="none"/>
          <w:lang w:val="en-US" w:eastAsia="zh-CN" w:bidi="ar-SA"/>
        </w:rPr>
      </w:pPr>
      <w:r>
        <w:rPr>
          <w:rFonts w:hint="eastAsia" w:asciiTheme="minorEastAsia" w:hAnsiTheme="minorEastAsia" w:eastAsiaTheme="minorEastAsia" w:cstheme="minorEastAsia"/>
          <w:b w:val="0"/>
          <w:bCs w:val="0"/>
          <w:i w:val="0"/>
          <w:color w:val="auto"/>
          <w:kern w:val="2"/>
          <w:sz w:val="24"/>
          <w:szCs w:val="24"/>
          <w:highlight w:val="none"/>
          <w:lang w:val="en-US" w:eastAsia="zh-CN" w:bidi="ar-SA"/>
        </w:rPr>
        <w:t>（三）严格执行以下管理要求：</w:t>
      </w:r>
    </w:p>
    <w:p w14:paraId="2A6053F4">
      <w:pPr>
        <w:pStyle w:val="10"/>
        <w:keepNext w:val="0"/>
        <w:keepLines w:val="0"/>
        <w:pageBreakBefore w:val="0"/>
        <w:widowControl w:val="0"/>
        <w:numPr>
          <w:ilvl w:val="0"/>
          <w:numId w:val="0"/>
        </w:numPr>
        <w:kinsoku/>
        <w:wordWrap/>
        <w:overflowPunct/>
        <w:topLinePunct w:val="0"/>
        <w:bidi w:val="0"/>
        <w:snapToGrid/>
        <w:spacing w:line="340" w:lineRule="exact"/>
        <w:textAlignment w:val="auto"/>
        <w:rPr>
          <w:rFonts w:hint="eastAsia" w:hAnsi="宋体"/>
          <w:b w:val="0"/>
          <w:bCs w:val="0"/>
          <w:color w:val="auto"/>
          <w:sz w:val="24"/>
          <w:szCs w:val="24"/>
          <w:highlight w:val="none"/>
          <w:u w:val="none"/>
        </w:rPr>
      </w:pPr>
      <w:r>
        <w:rPr>
          <w:rFonts w:hint="eastAsia" w:hAnsi="宋体"/>
          <w:b w:val="0"/>
          <w:bCs w:val="0"/>
          <w:color w:val="auto"/>
          <w:sz w:val="24"/>
          <w:szCs w:val="24"/>
          <w:highlight w:val="none"/>
          <w:u w:val="none"/>
          <w:lang w:val="en-US" w:eastAsia="zh-CN"/>
        </w:rPr>
        <w:t>1、</w:t>
      </w:r>
      <w:r>
        <w:rPr>
          <w:rFonts w:hint="eastAsia" w:hAnsi="宋体"/>
          <w:b w:val="0"/>
          <w:bCs w:val="0"/>
          <w:color w:val="auto"/>
          <w:sz w:val="24"/>
          <w:szCs w:val="24"/>
          <w:highlight w:val="none"/>
          <w:u w:val="none"/>
        </w:rPr>
        <w:t>严格执行</w:t>
      </w:r>
      <w:r>
        <w:rPr>
          <w:rFonts w:hint="eastAsia" w:hAnsi="宋体"/>
          <w:b w:val="0"/>
          <w:bCs w:val="0"/>
          <w:color w:val="auto"/>
          <w:sz w:val="24"/>
          <w:szCs w:val="24"/>
          <w:highlight w:val="none"/>
          <w:u w:val="none"/>
          <w:lang w:eastAsia="zh-CN"/>
        </w:rPr>
        <w:t>《</w:t>
      </w:r>
      <w:r>
        <w:rPr>
          <w:rFonts w:hint="eastAsia" w:hAnsi="宋体"/>
          <w:b w:val="0"/>
          <w:bCs w:val="0"/>
          <w:color w:val="auto"/>
          <w:sz w:val="24"/>
          <w:szCs w:val="24"/>
          <w:highlight w:val="none"/>
          <w:u w:val="none"/>
        </w:rPr>
        <w:t>保障中小企业款项支付条例</w:t>
      </w:r>
      <w:r>
        <w:rPr>
          <w:rFonts w:hint="eastAsia" w:hAnsi="宋体"/>
          <w:b w:val="0"/>
          <w:bCs w:val="0"/>
          <w:color w:val="auto"/>
          <w:sz w:val="24"/>
          <w:szCs w:val="24"/>
          <w:highlight w:val="none"/>
          <w:u w:val="none"/>
          <w:lang w:eastAsia="zh-CN"/>
        </w:rPr>
        <w:t>》</w:t>
      </w:r>
      <w:r>
        <w:rPr>
          <w:rFonts w:hint="eastAsia" w:hAnsi="宋体"/>
          <w:b w:val="0"/>
          <w:bCs w:val="0"/>
          <w:color w:val="auto"/>
          <w:sz w:val="24"/>
          <w:szCs w:val="24"/>
          <w:highlight w:val="none"/>
          <w:u w:val="none"/>
        </w:rPr>
        <w:t>（中华人民共和国国务院令 第728号）</w:t>
      </w:r>
      <w:r>
        <w:rPr>
          <w:rFonts w:hint="eastAsia" w:hAnsi="宋体"/>
          <w:b w:val="0"/>
          <w:bCs w:val="0"/>
          <w:color w:val="auto"/>
          <w:sz w:val="24"/>
          <w:szCs w:val="24"/>
          <w:highlight w:val="none"/>
          <w:u w:val="none"/>
          <w:lang w:eastAsia="zh-CN"/>
        </w:rPr>
        <w:t>相关要求，确保</w:t>
      </w:r>
      <w:r>
        <w:rPr>
          <w:rFonts w:hint="eastAsia" w:ascii="宋体"/>
          <w:color w:val="auto"/>
          <w:sz w:val="24"/>
          <w:szCs w:val="24"/>
          <w:highlight w:val="none"/>
          <w:u w:val="none"/>
          <w:lang w:eastAsia="zh-CN"/>
        </w:rPr>
        <w:t>款项支付依法合规</w:t>
      </w:r>
      <w:r>
        <w:rPr>
          <w:rFonts w:hint="eastAsia"/>
          <w:color w:val="auto"/>
          <w:sz w:val="24"/>
          <w:szCs w:val="24"/>
          <w:highlight w:val="none"/>
          <w:u w:val="none"/>
          <w:lang w:eastAsia="zh-CN"/>
        </w:rPr>
        <w:t>。</w:t>
      </w:r>
    </w:p>
    <w:p w14:paraId="42D12A7D">
      <w:pPr>
        <w:pStyle w:val="10"/>
        <w:keepNext w:val="0"/>
        <w:keepLines w:val="0"/>
        <w:pageBreakBefore w:val="0"/>
        <w:widowControl w:val="0"/>
        <w:numPr>
          <w:ilvl w:val="0"/>
          <w:numId w:val="4"/>
        </w:numPr>
        <w:kinsoku/>
        <w:wordWrap/>
        <w:overflowPunct/>
        <w:topLinePunct w:val="0"/>
        <w:bidi w:val="0"/>
        <w:snapToGrid/>
        <w:spacing w:line="340" w:lineRule="exact"/>
        <w:textAlignment w:val="auto"/>
        <w:rPr>
          <w:rFonts w:hint="eastAsia" w:hAnsi="宋体"/>
          <w:b w:val="0"/>
          <w:bCs w:val="0"/>
          <w:color w:val="auto"/>
          <w:sz w:val="24"/>
          <w:szCs w:val="24"/>
          <w:highlight w:val="none"/>
          <w:u w:val="none"/>
        </w:rPr>
      </w:pPr>
      <w:r>
        <w:rPr>
          <w:rFonts w:hint="eastAsia" w:hAnsi="宋体"/>
          <w:b w:val="0"/>
          <w:bCs w:val="0"/>
          <w:color w:val="auto"/>
          <w:sz w:val="24"/>
          <w:szCs w:val="24"/>
          <w:highlight w:val="none"/>
          <w:u w:val="none"/>
        </w:rPr>
        <w:t>按照公司要求使用资产管理信息系统及南网基建移动应用，若违反使用要求，按照南网基建承包商处罚条款进行扣分。</w:t>
      </w:r>
    </w:p>
    <w:p w14:paraId="54D4D854">
      <w:pPr>
        <w:pStyle w:val="10"/>
        <w:keepNext w:val="0"/>
        <w:keepLines w:val="0"/>
        <w:pageBreakBefore w:val="0"/>
        <w:widowControl w:val="0"/>
        <w:numPr>
          <w:ilvl w:val="0"/>
          <w:numId w:val="4"/>
        </w:numPr>
        <w:kinsoku/>
        <w:wordWrap/>
        <w:overflowPunct/>
        <w:topLinePunct w:val="0"/>
        <w:bidi w:val="0"/>
        <w:snapToGrid/>
        <w:spacing w:line="340" w:lineRule="exact"/>
        <w:textAlignment w:val="auto"/>
        <w:rPr>
          <w:rFonts w:hint="eastAsia" w:hAnsi="宋体"/>
          <w:b w:val="0"/>
          <w:bCs w:val="0"/>
          <w:color w:val="auto"/>
          <w:sz w:val="24"/>
          <w:szCs w:val="24"/>
          <w:highlight w:val="none"/>
          <w:u w:val="none"/>
        </w:rPr>
      </w:pPr>
      <w:r>
        <w:rPr>
          <w:rFonts w:hint="eastAsia" w:hAnsi="宋体"/>
          <w:color w:val="auto"/>
          <w:sz w:val="24"/>
          <w:szCs w:val="24"/>
          <w:highlight w:val="none"/>
          <w:u w:val="none"/>
        </w:rPr>
        <w:t>持续推进基建安风体系认证工作，严格执行“四步法”、“八步骤”、“7S”管理，规范PPE（人工防护用品）管理，形成施工现场安全管理文化。</w:t>
      </w:r>
    </w:p>
    <w:p w14:paraId="72C062D9">
      <w:pPr>
        <w:pStyle w:val="10"/>
        <w:keepNext w:val="0"/>
        <w:keepLines w:val="0"/>
        <w:pageBreakBefore w:val="0"/>
        <w:widowControl w:val="0"/>
        <w:numPr>
          <w:ilvl w:val="0"/>
          <w:numId w:val="4"/>
        </w:numPr>
        <w:kinsoku/>
        <w:wordWrap/>
        <w:overflowPunct/>
        <w:topLinePunct w:val="0"/>
        <w:bidi w:val="0"/>
        <w:snapToGrid/>
        <w:spacing w:line="340" w:lineRule="exact"/>
        <w:textAlignment w:val="auto"/>
        <w:rPr>
          <w:rFonts w:hint="eastAsia" w:hAnsi="宋体"/>
          <w:b w:val="0"/>
          <w:bCs w:val="0"/>
          <w:color w:val="auto"/>
          <w:sz w:val="24"/>
          <w:szCs w:val="24"/>
          <w:highlight w:val="none"/>
          <w:u w:val="none"/>
        </w:rPr>
      </w:pPr>
      <w:r>
        <w:rPr>
          <w:rFonts w:hint="eastAsia" w:hAnsi="宋体"/>
          <w:color w:val="auto"/>
          <w:sz w:val="24"/>
          <w:szCs w:val="24"/>
          <w:highlight w:val="none"/>
          <w:u w:val="none"/>
        </w:rPr>
        <w:t>服从《南方电网公司基建承包商违章处罚条款》的日常检查及处罚、服从各建设单位安全违章处罚、服从各建设单位安全整顿及安全学习等各项安全管理指令。</w:t>
      </w:r>
    </w:p>
    <w:p w14:paraId="2E5AE15B">
      <w:pPr>
        <w:pStyle w:val="10"/>
        <w:keepNext w:val="0"/>
        <w:keepLines w:val="0"/>
        <w:pageBreakBefore w:val="0"/>
        <w:widowControl w:val="0"/>
        <w:numPr>
          <w:ilvl w:val="0"/>
          <w:numId w:val="4"/>
        </w:numPr>
        <w:kinsoku/>
        <w:wordWrap/>
        <w:overflowPunct/>
        <w:topLinePunct w:val="0"/>
        <w:bidi w:val="0"/>
        <w:snapToGrid/>
        <w:spacing w:line="340" w:lineRule="exact"/>
        <w:textAlignment w:val="auto"/>
        <w:rPr>
          <w:rFonts w:hint="eastAsia" w:hAnsi="宋体"/>
          <w:b w:val="0"/>
          <w:bCs w:val="0"/>
          <w:color w:val="auto"/>
          <w:sz w:val="24"/>
          <w:szCs w:val="24"/>
          <w:highlight w:val="none"/>
          <w:u w:val="none"/>
        </w:rPr>
      </w:pPr>
      <w:r>
        <w:rPr>
          <w:rFonts w:hint="eastAsia" w:hAnsi="宋体"/>
          <w:color w:val="auto"/>
          <w:sz w:val="24"/>
          <w:szCs w:val="24"/>
          <w:highlight w:val="none"/>
          <w:u w:val="none"/>
        </w:rPr>
        <w:t>遵守国家、电力行业、公司持证上岗相关要求。</w:t>
      </w:r>
    </w:p>
    <w:p w14:paraId="13A60093">
      <w:pPr>
        <w:pStyle w:val="10"/>
        <w:keepNext w:val="0"/>
        <w:keepLines w:val="0"/>
        <w:pageBreakBefore w:val="0"/>
        <w:widowControl w:val="0"/>
        <w:numPr>
          <w:ilvl w:val="0"/>
          <w:numId w:val="4"/>
        </w:numPr>
        <w:kinsoku/>
        <w:wordWrap/>
        <w:overflowPunct/>
        <w:topLinePunct w:val="0"/>
        <w:bidi w:val="0"/>
        <w:snapToGrid/>
        <w:spacing w:line="340" w:lineRule="exact"/>
        <w:textAlignment w:val="auto"/>
        <w:rPr>
          <w:rFonts w:hint="eastAsia" w:hAnsi="宋体"/>
          <w:b w:val="0"/>
          <w:bCs w:val="0"/>
          <w:color w:val="auto"/>
          <w:sz w:val="24"/>
          <w:szCs w:val="24"/>
          <w:highlight w:val="none"/>
          <w:u w:val="none"/>
        </w:rPr>
      </w:pPr>
      <w:r>
        <w:rPr>
          <w:rFonts w:hint="eastAsia" w:hAnsi="宋体"/>
          <w:color w:val="auto"/>
          <w:sz w:val="24"/>
          <w:szCs w:val="24"/>
          <w:highlight w:val="none"/>
          <w:u w:val="none"/>
        </w:rPr>
        <w:t>自愿参加南方电网公司基建承包商登记建档并服从承包商管理相关规定。</w:t>
      </w:r>
    </w:p>
    <w:p w14:paraId="1DCD2A5F">
      <w:pPr>
        <w:pStyle w:val="10"/>
        <w:keepNext w:val="0"/>
        <w:keepLines w:val="0"/>
        <w:pageBreakBefore w:val="0"/>
        <w:widowControl w:val="0"/>
        <w:numPr>
          <w:ilvl w:val="0"/>
          <w:numId w:val="4"/>
        </w:numPr>
        <w:kinsoku/>
        <w:wordWrap/>
        <w:overflowPunct/>
        <w:topLinePunct w:val="0"/>
        <w:bidi w:val="0"/>
        <w:snapToGrid/>
        <w:spacing w:line="340" w:lineRule="exact"/>
        <w:textAlignment w:val="auto"/>
        <w:rPr>
          <w:rFonts w:hint="eastAsia" w:hAnsi="宋体"/>
          <w:b w:val="0"/>
          <w:bCs w:val="0"/>
          <w:color w:val="auto"/>
          <w:sz w:val="24"/>
          <w:szCs w:val="24"/>
          <w:highlight w:val="none"/>
          <w:u w:val="none"/>
        </w:rPr>
      </w:pPr>
      <w:r>
        <w:rPr>
          <w:rFonts w:hint="eastAsia" w:hAnsi="宋体"/>
          <w:color w:val="auto"/>
          <w:sz w:val="24"/>
          <w:szCs w:val="24"/>
          <w:highlight w:val="none"/>
          <w:u w:val="none"/>
        </w:rPr>
        <w:t>严格执行南网“八不准”。</w:t>
      </w:r>
    </w:p>
    <w:p w14:paraId="3170BC4C">
      <w:pPr>
        <w:pStyle w:val="10"/>
        <w:keepNext w:val="0"/>
        <w:keepLines w:val="0"/>
        <w:pageBreakBefore w:val="0"/>
        <w:widowControl w:val="0"/>
        <w:numPr>
          <w:ilvl w:val="0"/>
          <w:numId w:val="4"/>
        </w:numPr>
        <w:kinsoku/>
        <w:wordWrap/>
        <w:overflowPunct/>
        <w:topLinePunct w:val="0"/>
        <w:bidi w:val="0"/>
        <w:snapToGrid/>
        <w:spacing w:line="340" w:lineRule="exact"/>
        <w:textAlignment w:val="auto"/>
        <w:rPr>
          <w:rFonts w:hint="eastAsia" w:hAnsi="宋体"/>
          <w:b w:val="0"/>
          <w:bCs w:val="0"/>
          <w:color w:val="auto"/>
          <w:sz w:val="24"/>
          <w:szCs w:val="24"/>
          <w:highlight w:val="none"/>
          <w:u w:val="none"/>
        </w:rPr>
      </w:pPr>
      <w:r>
        <w:rPr>
          <w:rFonts w:hint="eastAsia" w:hAnsi="宋体"/>
          <w:color w:val="auto"/>
          <w:sz w:val="24"/>
          <w:szCs w:val="24"/>
          <w:highlight w:val="none"/>
          <w:u w:val="none"/>
        </w:rPr>
        <w:t>深化WHS、施工作业指导书和验评标准的现场应用。</w:t>
      </w:r>
    </w:p>
    <w:p w14:paraId="2424EDC8">
      <w:pPr>
        <w:pStyle w:val="10"/>
        <w:keepNext w:val="0"/>
        <w:keepLines w:val="0"/>
        <w:pageBreakBefore w:val="0"/>
        <w:widowControl w:val="0"/>
        <w:numPr>
          <w:ilvl w:val="0"/>
          <w:numId w:val="4"/>
        </w:numPr>
        <w:kinsoku/>
        <w:wordWrap/>
        <w:overflowPunct/>
        <w:topLinePunct w:val="0"/>
        <w:bidi w:val="0"/>
        <w:snapToGrid/>
        <w:spacing w:line="340" w:lineRule="exact"/>
        <w:textAlignment w:val="auto"/>
        <w:rPr>
          <w:rFonts w:hint="eastAsia" w:hAnsi="宋体"/>
          <w:b w:val="0"/>
          <w:bCs w:val="0"/>
          <w:color w:val="auto"/>
          <w:sz w:val="24"/>
          <w:szCs w:val="24"/>
          <w:highlight w:val="none"/>
          <w:u w:val="none"/>
        </w:rPr>
      </w:pPr>
      <w:r>
        <w:rPr>
          <w:rFonts w:hint="eastAsia" w:hAnsi="宋体"/>
          <w:color w:val="auto"/>
          <w:sz w:val="24"/>
          <w:szCs w:val="24"/>
          <w:highlight w:val="none"/>
          <w:u w:val="none"/>
        </w:rPr>
        <w:t>完善基建项目缺陷管理制度、表单，所有项目均严格实行缺陷填报。</w:t>
      </w:r>
    </w:p>
    <w:p w14:paraId="7C020624">
      <w:pPr>
        <w:pStyle w:val="10"/>
        <w:keepNext w:val="0"/>
        <w:keepLines w:val="0"/>
        <w:pageBreakBefore w:val="0"/>
        <w:widowControl w:val="0"/>
        <w:numPr>
          <w:ilvl w:val="0"/>
          <w:numId w:val="4"/>
        </w:numPr>
        <w:kinsoku/>
        <w:wordWrap/>
        <w:overflowPunct/>
        <w:topLinePunct w:val="0"/>
        <w:bidi w:val="0"/>
        <w:snapToGrid/>
        <w:spacing w:line="340" w:lineRule="exact"/>
        <w:textAlignment w:val="auto"/>
        <w:rPr>
          <w:rFonts w:hint="eastAsia" w:asciiTheme="minorEastAsia" w:hAnsiTheme="minorEastAsia" w:eastAsiaTheme="minorEastAsia" w:cstheme="minorEastAsia"/>
          <w:b w:val="0"/>
          <w:bCs w:val="0"/>
          <w:i w:val="0"/>
          <w:color w:val="auto"/>
          <w:kern w:val="2"/>
          <w:sz w:val="24"/>
          <w:szCs w:val="24"/>
          <w:highlight w:val="none"/>
          <w:u w:val="none"/>
          <w:lang w:val="en-US" w:eastAsia="zh-CN" w:bidi="ar-SA"/>
        </w:rPr>
      </w:pPr>
      <w:r>
        <w:rPr>
          <w:rFonts w:hint="eastAsia" w:hAnsi="宋体"/>
          <w:color w:val="auto"/>
          <w:sz w:val="24"/>
          <w:szCs w:val="24"/>
          <w:highlight w:val="none"/>
          <w:u w:val="none"/>
        </w:rPr>
        <w:t>积极配合执行各建设单位开展的信息化管理项目、新技术、新工艺开发应用。</w:t>
      </w:r>
    </w:p>
    <w:p w14:paraId="52FE713E">
      <w:pPr>
        <w:pStyle w:val="6"/>
        <w:keepNext w:val="0"/>
        <w:keepLines w:val="0"/>
        <w:pageBreakBefore w:val="0"/>
        <w:widowControl w:val="0"/>
        <w:shd w:val="clear" w:color="auto" w:fill="auto"/>
        <w:kinsoku/>
        <w:wordWrap/>
        <w:overflowPunct/>
        <w:topLinePunct w:val="0"/>
        <w:autoSpaceDE w:val="0"/>
        <w:autoSpaceDN w:val="0"/>
        <w:bidi w:val="0"/>
        <w:adjustRightInd w:val="0"/>
        <w:snapToGrid/>
        <w:spacing w:before="157" w:beforeLines="50" w:after="157" w:afterLines="50" w:line="360" w:lineRule="exact"/>
        <w:textAlignment w:val="auto"/>
        <w:rPr>
          <w:rFonts w:hint="eastAsia" w:asciiTheme="minorEastAsia" w:hAnsiTheme="minorEastAsia" w:eastAsiaTheme="minorEastAsia" w:cstheme="minorEastAsia"/>
          <w:i w:val="0"/>
          <w:iCs/>
          <w:color w:val="auto"/>
          <w:sz w:val="24"/>
          <w:szCs w:val="24"/>
          <w:highlight w:val="none"/>
          <w:lang w:eastAsia="zh-CN"/>
        </w:rPr>
      </w:pPr>
      <w:bookmarkStart w:id="3" w:name="_Toc482188640"/>
      <w:bookmarkStart w:id="4" w:name="_Toc11396"/>
      <w:r>
        <w:rPr>
          <w:rFonts w:hint="eastAsia" w:asciiTheme="minorEastAsia" w:hAnsiTheme="minorEastAsia" w:eastAsiaTheme="minorEastAsia" w:cstheme="minorEastAsia"/>
          <w:i w:val="0"/>
          <w:iCs/>
          <w:color w:val="auto"/>
          <w:sz w:val="24"/>
          <w:szCs w:val="24"/>
          <w:highlight w:val="none"/>
          <w:lang w:eastAsia="zh-CN"/>
        </w:rPr>
        <w:t>三、</w:t>
      </w:r>
      <w:bookmarkEnd w:id="3"/>
      <w:r>
        <w:rPr>
          <w:rFonts w:hint="eastAsia" w:asciiTheme="minorEastAsia" w:hAnsiTheme="minorEastAsia" w:eastAsiaTheme="minorEastAsia" w:cstheme="minorEastAsia"/>
          <w:i w:val="0"/>
          <w:iCs/>
          <w:color w:val="auto"/>
          <w:sz w:val="24"/>
          <w:szCs w:val="24"/>
          <w:highlight w:val="none"/>
          <w:lang w:eastAsia="zh-CN"/>
        </w:rPr>
        <w:t>图纸</w:t>
      </w:r>
      <w:bookmarkEnd w:id="4"/>
    </w:p>
    <w:p w14:paraId="0FADD35E">
      <w:pPr>
        <w:keepNext w:val="0"/>
        <w:keepLines w:val="0"/>
        <w:pageBreakBefore w:val="0"/>
        <w:widowControl w:val="0"/>
        <w:kinsoku/>
        <w:wordWrap/>
        <w:overflowPunct/>
        <w:topLinePunct w:val="0"/>
        <w:bidi w:val="0"/>
        <w:snapToGrid/>
        <w:spacing w:line="360" w:lineRule="exact"/>
        <w:ind w:firstLine="480" w:firstLineChars="200"/>
        <w:textAlignment w:val="auto"/>
        <w:rPr>
          <w:rFonts w:hint="eastAsia"/>
          <w:color w:val="auto"/>
          <w:sz w:val="24"/>
          <w:szCs w:val="24"/>
          <w:highlight w:val="none"/>
        </w:rPr>
      </w:pPr>
      <w:bookmarkStart w:id="5" w:name="_Toc482188644"/>
      <w:r>
        <w:rPr>
          <w:rFonts w:hint="eastAsia"/>
          <w:color w:val="auto"/>
          <w:sz w:val="24"/>
          <w:szCs w:val="24"/>
          <w:highlight w:val="none"/>
        </w:rPr>
        <w:t>有关设计文件、图纸及资料。</w:t>
      </w:r>
    </w:p>
    <w:p w14:paraId="2F331BF2">
      <w:pPr>
        <w:pStyle w:val="6"/>
        <w:keepNext w:val="0"/>
        <w:keepLines w:val="0"/>
        <w:pageBreakBefore w:val="0"/>
        <w:widowControl w:val="0"/>
        <w:shd w:val="clear" w:color="auto" w:fill="auto"/>
        <w:kinsoku/>
        <w:wordWrap/>
        <w:overflowPunct/>
        <w:topLinePunct w:val="0"/>
        <w:autoSpaceDE w:val="0"/>
        <w:autoSpaceDN w:val="0"/>
        <w:bidi w:val="0"/>
        <w:adjustRightInd w:val="0"/>
        <w:snapToGrid/>
        <w:spacing w:before="157" w:beforeLines="50" w:after="157" w:afterLines="50" w:line="240" w:lineRule="auto"/>
        <w:textAlignment w:val="auto"/>
        <w:rPr>
          <w:rFonts w:hint="eastAsia" w:asciiTheme="minorEastAsia" w:hAnsiTheme="minorEastAsia" w:eastAsiaTheme="minorEastAsia" w:cstheme="minorEastAsia"/>
          <w:i w:val="0"/>
          <w:iCs/>
          <w:color w:val="auto"/>
          <w:sz w:val="24"/>
          <w:szCs w:val="24"/>
          <w:highlight w:val="none"/>
          <w:lang w:eastAsia="zh-CN"/>
        </w:rPr>
      </w:pPr>
      <w:bookmarkStart w:id="6" w:name="_Toc30760"/>
      <w:r>
        <w:rPr>
          <w:rFonts w:hint="eastAsia" w:asciiTheme="minorEastAsia" w:hAnsiTheme="minorEastAsia" w:eastAsiaTheme="minorEastAsia" w:cstheme="minorEastAsia"/>
          <w:i w:val="0"/>
          <w:iCs/>
          <w:color w:val="auto"/>
          <w:sz w:val="24"/>
          <w:szCs w:val="24"/>
          <w:highlight w:val="none"/>
          <w:lang w:eastAsia="zh-CN"/>
        </w:rPr>
        <w:t>四、</w:t>
      </w:r>
      <w:bookmarkEnd w:id="5"/>
      <w:bookmarkStart w:id="7" w:name="_Toc482188646"/>
      <w:r>
        <w:rPr>
          <w:rFonts w:hint="eastAsia" w:asciiTheme="minorEastAsia" w:hAnsiTheme="minorEastAsia" w:eastAsiaTheme="minorEastAsia" w:cstheme="minorEastAsia"/>
          <w:i w:val="0"/>
          <w:iCs/>
          <w:color w:val="auto"/>
          <w:sz w:val="24"/>
          <w:szCs w:val="24"/>
          <w:highlight w:val="none"/>
          <w:lang w:eastAsia="zh-CN"/>
        </w:rPr>
        <w:t>其他要求</w:t>
      </w:r>
      <w:bookmarkEnd w:id="6"/>
      <w:bookmarkEnd w:id="7"/>
    </w:p>
    <w:p w14:paraId="26FC2DE6">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招标</w:t>
      </w:r>
      <w:r>
        <w:rPr>
          <w:rFonts w:hint="eastAsia" w:asciiTheme="minorEastAsia" w:hAnsiTheme="minorEastAsia" w:eastAsiaTheme="minorEastAsia" w:cstheme="minorEastAsia"/>
          <w:color w:val="auto"/>
          <w:sz w:val="24"/>
          <w:szCs w:val="24"/>
          <w:highlight w:val="none"/>
        </w:rPr>
        <w:t>人根据委托的监理范围和内容，随招标文件向投标人提供与监理范围和内容有关的以下文件、资料：</w:t>
      </w:r>
    </w:p>
    <w:p w14:paraId="7658649E">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val="en-US" w:eastAsia="zh-CN"/>
        </w:rPr>
        <w:t>1</w:t>
      </w:r>
      <w:r>
        <w:rPr>
          <w:rFonts w:hint="eastAsia" w:asciiTheme="minorEastAsia" w:hAnsiTheme="minorEastAsia" w:eastAsiaTheme="minorEastAsia" w:cstheme="minorEastAsia"/>
          <w:color w:val="auto"/>
          <w:sz w:val="24"/>
          <w:szCs w:val="24"/>
          <w:highlight w:val="none"/>
        </w:rPr>
        <w:t>）工程项目批复文件；</w:t>
      </w:r>
    </w:p>
    <w:p w14:paraId="7A7C6A5C">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val="en-US" w:eastAsia="zh-CN"/>
        </w:rPr>
        <w:t>2</w:t>
      </w:r>
      <w:r>
        <w:rPr>
          <w:rFonts w:hint="eastAsia" w:asciiTheme="minorEastAsia" w:hAnsiTheme="minorEastAsia" w:eastAsiaTheme="minorEastAsia" w:cstheme="minorEastAsia"/>
          <w:color w:val="auto"/>
          <w:sz w:val="24"/>
          <w:szCs w:val="24"/>
          <w:highlight w:val="none"/>
        </w:rPr>
        <w:t>）有关设计文件及资料。</w:t>
      </w:r>
    </w:p>
    <w:p w14:paraId="4E89D272">
      <w:pPr>
        <w:pStyle w:val="5"/>
        <w:rPr>
          <w:rFonts w:hint="eastAsia" w:asciiTheme="minorEastAsia" w:hAnsiTheme="minorEastAsia" w:eastAsiaTheme="minorEastAsia" w:cstheme="minorEastAsia"/>
          <w:color w:val="auto"/>
          <w:sz w:val="24"/>
          <w:szCs w:val="24"/>
          <w:highlight w:val="none"/>
        </w:rPr>
      </w:pPr>
    </w:p>
    <w:p w14:paraId="5DCF041B">
      <w:pPr>
        <w:rPr>
          <w:rFonts w:hint="eastAsia" w:asciiTheme="minorEastAsia" w:hAnsiTheme="minorEastAsia" w:eastAsiaTheme="minorEastAsia" w:cstheme="minorEastAsia"/>
          <w:color w:val="auto"/>
          <w:sz w:val="24"/>
          <w:szCs w:val="24"/>
          <w:highlight w:val="none"/>
        </w:rPr>
      </w:pPr>
    </w:p>
    <w:p w14:paraId="6019F2BD">
      <w:pPr>
        <w:pStyle w:val="5"/>
        <w:rPr>
          <w:rFonts w:hint="eastAsia" w:asciiTheme="minorEastAsia" w:hAnsiTheme="minorEastAsia" w:eastAsiaTheme="minorEastAsia" w:cstheme="minorEastAsia"/>
          <w:color w:val="auto"/>
          <w:sz w:val="24"/>
          <w:szCs w:val="24"/>
          <w:highlight w:val="none"/>
        </w:rPr>
      </w:pPr>
    </w:p>
    <w:p w14:paraId="2B16A1D5">
      <w:pPr>
        <w:rPr>
          <w:rFonts w:hint="eastAsia" w:asciiTheme="minorEastAsia" w:hAnsiTheme="minorEastAsia" w:eastAsiaTheme="minorEastAsia" w:cstheme="minorEastAsia"/>
          <w:color w:val="auto"/>
          <w:sz w:val="24"/>
          <w:szCs w:val="24"/>
          <w:highlight w:val="none"/>
        </w:rPr>
      </w:pPr>
    </w:p>
    <w:p w14:paraId="63B169EA">
      <w:pPr>
        <w:pStyle w:val="5"/>
        <w:rPr>
          <w:rFonts w:hint="eastAsia"/>
          <w:sz w:val="28"/>
          <w:szCs w:val="28"/>
        </w:rPr>
      </w:pPr>
    </w:p>
    <w:p w14:paraId="73163A44">
      <w:pPr>
        <w:pStyle w:val="10"/>
        <w:keepNext w:val="0"/>
        <w:keepLines w:val="0"/>
        <w:pageBreakBefore w:val="0"/>
        <w:widowControl w:val="0"/>
        <w:kinsoku/>
        <w:wordWrap/>
        <w:overflowPunct/>
        <w:topLinePunct w:val="0"/>
        <w:autoSpaceDE/>
        <w:autoSpaceDN/>
        <w:bidi w:val="0"/>
        <w:adjustRightInd/>
        <w:snapToGrid/>
        <w:spacing w:line="480" w:lineRule="atLeast"/>
        <w:textAlignment w:val="auto"/>
        <w:rPr>
          <w:rFonts w:hint="eastAsia" w:ascii="宋体" w:hAnsi="宋体" w:eastAsia="宋体" w:cs="宋体"/>
          <w:color w:val="auto"/>
          <w:sz w:val="24"/>
          <w:szCs w:val="24"/>
          <w:highlight w:val="none"/>
          <w:u w:val="single"/>
          <w:lang w:val="en-US" w:eastAsia="zh-CN"/>
        </w:rPr>
      </w:pPr>
      <w:bookmarkStart w:id="8" w:name="_GoBack"/>
      <w:bookmarkEnd w:id="8"/>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CC18AD6"/>
    <w:multiLevelType w:val="singleLevel"/>
    <w:tmpl w:val="DCC18AD6"/>
    <w:lvl w:ilvl="0" w:tentative="0">
      <w:start w:val="1"/>
      <w:numFmt w:val="decimal"/>
      <w:suff w:val="nothing"/>
      <w:lvlText w:val="（%1）"/>
      <w:lvlJc w:val="left"/>
      <w:pPr>
        <w:ind w:left="240" w:leftChars="0" w:firstLine="0" w:firstLineChars="0"/>
      </w:pPr>
    </w:lvl>
  </w:abstractNum>
  <w:abstractNum w:abstractNumId="1">
    <w:nsid w:val="EAEE20F8"/>
    <w:multiLevelType w:val="singleLevel"/>
    <w:tmpl w:val="EAEE20F8"/>
    <w:lvl w:ilvl="0" w:tentative="0">
      <w:start w:val="2"/>
      <w:numFmt w:val="chineseCounting"/>
      <w:suff w:val="nothing"/>
      <w:lvlText w:val="第%1部分."/>
      <w:lvlJc w:val="left"/>
      <w:rPr>
        <w:rFonts w:hint="eastAsia"/>
      </w:rPr>
    </w:lvl>
  </w:abstractNum>
  <w:abstractNum w:abstractNumId="2">
    <w:nsid w:val="0D7920FF"/>
    <w:multiLevelType w:val="singleLevel"/>
    <w:tmpl w:val="0D7920FF"/>
    <w:lvl w:ilvl="0" w:tentative="0">
      <w:start w:val="1"/>
      <w:numFmt w:val="chineseCounting"/>
      <w:suff w:val="nothing"/>
      <w:lvlText w:val="第%1部分."/>
      <w:lvlJc w:val="left"/>
      <w:rPr>
        <w:rFonts w:hint="eastAsia"/>
      </w:rPr>
    </w:lvl>
  </w:abstractNum>
  <w:abstractNum w:abstractNumId="3">
    <w:nsid w:val="4122DDE1"/>
    <w:multiLevelType w:val="singleLevel"/>
    <w:tmpl w:val="4122DDE1"/>
    <w:lvl w:ilvl="0" w:tentative="0">
      <w:start w:val="2"/>
      <w:numFmt w:val="decimal"/>
      <w:suff w:val="nothing"/>
      <w:lvlText w:val="%1、"/>
      <w:lvlJc w:val="left"/>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E2MmY2MDg0ZWU3MDllNmYwOTViMmNkM2NjODQyNzcifQ=="/>
  </w:docVars>
  <w:rsids>
    <w:rsidRoot w:val="24F737D8"/>
    <w:rsid w:val="001270A5"/>
    <w:rsid w:val="0069356E"/>
    <w:rsid w:val="007A4AD7"/>
    <w:rsid w:val="034C42F7"/>
    <w:rsid w:val="03F1316B"/>
    <w:rsid w:val="04A24F71"/>
    <w:rsid w:val="06CC0A35"/>
    <w:rsid w:val="076F3B3B"/>
    <w:rsid w:val="07CA37DF"/>
    <w:rsid w:val="07CC3833"/>
    <w:rsid w:val="087661BB"/>
    <w:rsid w:val="08F11B50"/>
    <w:rsid w:val="0B6E3B68"/>
    <w:rsid w:val="0BC07002"/>
    <w:rsid w:val="0BD30473"/>
    <w:rsid w:val="0E2F4C02"/>
    <w:rsid w:val="0E3616E0"/>
    <w:rsid w:val="0E937FF7"/>
    <w:rsid w:val="0ED624A7"/>
    <w:rsid w:val="0F81532F"/>
    <w:rsid w:val="107144D2"/>
    <w:rsid w:val="116419AD"/>
    <w:rsid w:val="11794537"/>
    <w:rsid w:val="11DF6CFE"/>
    <w:rsid w:val="13383335"/>
    <w:rsid w:val="14440D4B"/>
    <w:rsid w:val="14B666F3"/>
    <w:rsid w:val="15056A61"/>
    <w:rsid w:val="16924C5B"/>
    <w:rsid w:val="182633AB"/>
    <w:rsid w:val="18BF5B28"/>
    <w:rsid w:val="18E57496"/>
    <w:rsid w:val="1A2D5CFF"/>
    <w:rsid w:val="1A386933"/>
    <w:rsid w:val="1A4F176B"/>
    <w:rsid w:val="1A912F72"/>
    <w:rsid w:val="1AE03D00"/>
    <w:rsid w:val="1B663F82"/>
    <w:rsid w:val="1C2D4629"/>
    <w:rsid w:val="1C43636C"/>
    <w:rsid w:val="1D904223"/>
    <w:rsid w:val="1EE95CBB"/>
    <w:rsid w:val="1F653C49"/>
    <w:rsid w:val="1F6C0D31"/>
    <w:rsid w:val="1FF914D4"/>
    <w:rsid w:val="20735046"/>
    <w:rsid w:val="2140491C"/>
    <w:rsid w:val="216F4D5B"/>
    <w:rsid w:val="22436D74"/>
    <w:rsid w:val="226D64CF"/>
    <w:rsid w:val="23B738BA"/>
    <w:rsid w:val="24DF6F4F"/>
    <w:rsid w:val="24E67795"/>
    <w:rsid w:val="24F737D8"/>
    <w:rsid w:val="25100685"/>
    <w:rsid w:val="268B1139"/>
    <w:rsid w:val="26A73075"/>
    <w:rsid w:val="2B860525"/>
    <w:rsid w:val="2CA17C08"/>
    <w:rsid w:val="2DDF66E3"/>
    <w:rsid w:val="2E0B0676"/>
    <w:rsid w:val="2E280717"/>
    <w:rsid w:val="2FF65FF8"/>
    <w:rsid w:val="300D195C"/>
    <w:rsid w:val="30BD4AC6"/>
    <w:rsid w:val="30BF37B5"/>
    <w:rsid w:val="31C955A9"/>
    <w:rsid w:val="320D3024"/>
    <w:rsid w:val="33B200AF"/>
    <w:rsid w:val="33E61BE2"/>
    <w:rsid w:val="34930311"/>
    <w:rsid w:val="3560419E"/>
    <w:rsid w:val="361736AD"/>
    <w:rsid w:val="36D200CF"/>
    <w:rsid w:val="379951F8"/>
    <w:rsid w:val="38382DC3"/>
    <w:rsid w:val="38DE045C"/>
    <w:rsid w:val="3A546240"/>
    <w:rsid w:val="3BF24D81"/>
    <w:rsid w:val="3BFE7BEA"/>
    <w:rsid w:val="3C4750A3"/>
    <w:rsid w:val="3C4A35F1"/>
    <w:rsid w:val="3E664B6D"/>
    <w:rsid w:val="3ED7087B"/>
    <w:rsid w:val="3F141BFC"/>
    <w:rsid w:val="3FE22B87"/>
    <w:rsid w:val="444D481C"/>
    <w:rsid w:val="44982260"/>
    <w:rsid w:val="44D414C9"/>
    <w:rsid w:val="46472D5E"/>
    <w:rsid w:val="49524E19"/>
    <w:rsid w:val="49593F49"/>
    <w:rsid w:val="496A657E"/>
    <w:rsid w:val="49843C09"/>
    <w:rsid w:val="49C84411"/>
    <w:rsid w:val="49E4401C"/>
    <w:rsid w:val="49EE7CDB"/>
    <w:rsid w:val="4B3A1BDA"/>
    <w:rsid w:val="4BF83760"/>
    <w:rsid w:val="4C8349B8"/>
    <w:rsid w:val="4D7F0CE1"/>
    <w:rsid w:val="520D6E5F"/>
    <w:rsid w:val="53115540"/>
    <w:rsid w:val="53B63D0B"/>
    <w:rsid w:val="54971802"/>
    <w:rsid w:val="55C3156A"/>
    <w:rsid w:val="57326672"/>
    <w:rsid w:val="5782183A"/>
    <w:rsid w:val="57BD355E"/>
    <w:rsid w:val="594F52BB"/>
    <w:rsid w:val="59A5419F"/>
    <w:rsid w:val="5A8B0A87"/>
    <w:rsid w:val="5B0320E2"/>
    <w:rsid w:val="5B8B11A7"/>
    <w:rsid w:val="5B9E2EC4"/>
    <w:rsid w:val="5E23130B"/>
    <w:rsid w:val="5E47488F"/>
    <w:rsid w:val="608606DE"/>
    <w:rsid w:val="610E324A"/>
    <w:rsid w:val="61F31EFD"/>
    <w:rsid w:val="61F81312"/>
    <w:rsid w:val="63066BC7"/>
    <w:rsid w:val="63D0487B"/>
    <w:rsid w:val="643C4154"/>
    <w:rsid w:val="64672037"/>
    <w:rsid w:val="64911DA0"/>
    <w:rsid w:val="65473A27"/>
    <w:rsid w:val="65945D8D"/>
    <w:rsid w:val="65E031F3"/>
    <w:rsid w:val="66C35559"/>
    <w:rsid w:val="67D57489"/>
    <w:rsid w:val="68570F93"/>
    <w:rsid w:val="6A287B5E"/>
    <w:rsid w:val="6B303A1A"/>
    <w:rsid w:val="6B4750C0"/>
    <w:rsid w:val="6D7970F2"/>
    <w:rsid w:val="6DAA2FDF"/>
    <w:rsid w:val="6E121228"/>
    <w:rsid w:val="6F3B16D9"/>
    <w:rsid w:val="6FC971BF"/>
    <w:rsid w:val="70D1495F"/>
    <w:rsid w:val="70ED510D"/>
    <w:rsid w:val="74695E39"/>
    <w:rsid w:val="754C6F3B"/>
    <w:rsid w:val="75A4572F"/>
    <w:rsid w:val="75B11AFF"/>
    <w:rsid w:val="75D32619"/>
    <w:rsid w:val="765369C1"/>
    <w:rsid w:val="767D6887"/>
    <w:rsid w:val="76DD7484"/>
    <w:rsid w:val="77494CFF"/>
    <w:rsid w:val="780B6A75"/>
    <w:rsid w:val="79F83E18"/>
    <w:rsid w:val="7A262145"/>
    <w:rsid w:val="7BEC3F2B"/>
    <w:rsid w:val="7D0F76D8"/>
    <w:rsid w:val="7E3420E0"/>
    <w:rsid w:val="7E535DCD"/>
    <w:rsid w:val="7F7B4315"/>
    <w:rsid w:val="7FBF5D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iPriority="99" w:semiHidden="0" w:name="heading 1"/>
    <w:lsdException w:qFormat="1"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Calibri" w:hAnsi="Calibri" w:eastAsia="宋体" w:cs="Times New Roman"/>
      <w:kern w:val="2"/>
      <w:sz w:val="21"/>
      <w:szCs w:val="22"/>
      <w:lang w:val="en-US" w:eastAsia="zh-CN" w:bidi="ar-SA"/>
    </w:rPr>
  </w:style>
  <w:style w:type="paragraph" w:styleId="5">
    <w:name w:val="heading 1"/>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color w:val="000000"/>
      <w:sz w:val="32"/>
    </w:rPr>
  </w:style>
  <w:style w:type="paragraph" w:styleId="6">
    <w:name w:val="heading 2"/>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i/>
      <w:color w:val="000000"/>
      <w:sz w:val="28"/>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First Indent"/>
    <w:basedOn w:val="3"/>
    <w:qFormat/>
    <w:uiPriority w:val="0"/>
    <w:pPr>
      <w:keepNext w:val="0"/>
      <w:keepLines w:val="0"/>
      <w:widowControl w:val="0"/>
      <w:suppressLineNumbers w:val="0"/>
      <w:pBdr>
        <w:top w:val="none" w:color="auto" w:sz="0" w:space="0"/>
        <w:left w:val="none" w:color="auto" w:sz="0" w:space="0"/>
        <w:bottom w:val="none" w:color="auto" w:sz="0" w:space="0"/>
        <w:right w:val="none" w:color="auto" w:sz="0" w:space="0"/>
      </w:pBdr>
      <w:spacing w:beforeLines="50" w:beforeAutospacing="0" w:afterLines="50" w:afterAutospacing="0" w:line="360" w:lineRule="auto"/>
      <w:ind w:firstLine="200" w:firstLineChars="200"/>
      <w:jc w:val="both"/>
    </w:pPr>
    <w:rPr>
      <w:rFonts w:hint="default" w:ascii="Times New Roman" w:hAnsi="Times New Roman" w:eastAsia="宋体" w:cs="Times New Roman"/>
      <w:kern w:val="2"/>
      <w:sz w:val="24"/>
      <w:szCs w:val="24"/>
      <w:lang w:val="en-US" w:eastAsia="zh-CN" w:bidi="ar"/>
    </w:rPr>
  </w:style>
  <w:style w:type="paragraph" w:styleId="3">
    <w:name w:val="Body Text"/>
    <w:basedOn w:val="1"/>
    <w:next w:val="4"/>
    <w:unhideWhenUsed/>
    <w:qFormat/>
    <w:uiPriority w:val="99"/>
    <w:pPr>
      <w:pBdr>
        <w:top w:val="none" w:color="auto" w:sz="0" w:space="0"/>
        <w:left w:val="none" w:color="auto" w:sz="0" w:space="0"/>
        <w:bottom w:val="none" w:color="auto" w:sz="0" w:space="0"/>
        <w:right w:val="none" w:color="auto" w:sz="0" w:space="0"/>
        <w:between w:val="none" w:color="auto" w:sz="0" w:space="0"/>
      </w:pBdr>
      <w:spacing w:after="120"/>
      <w:jc w:val="both"/>
    </w:pPr>
    <w:rPr>
      <w:lang w:val="en-US" w:eastAsia="zh-CN"/>
    </w:rPr>
  </w:style>
  <w:style w:type="paragraph" w:styleId="4">
    <w:name w:val="Title"/>
    <w:basedOn w:val="1"/>
    <w:next w:val="1"/>
    <w:qFormat/>
    <w:uiPriority w:val="0"/>
    <w:pPr>
      <w:widowControl/>
      <w:spacing w:before="240" w:after="60" w:line="560" w:lineRule="exact"/>
      <w:jc w:val="center"/>
      <w:outlineLvl w:val="0"/>
    </w:pPr>
    <w:rPr>
      <w:rFonts w:ascii="Arial" w:hAnsi="Arial" w:eastAsia="华文中宋" w:cs="Arial"/>
      <w:b/>
      <w:bCs/>
      <w:color w:val="FF0000"/>
      <w:kern w:val="0"/>
      <w:sz w:val="84"/>
      <w:szCs w:val="32"/>
    </w:rPr>
  </w:style>
  <w:style w:type="paragraph" w:styleId="7">
    <w:name w:val="Normal Indent"/>
    <w:basedOn w:val="1"/>
    <w:qFormat/>
    <w:uiPriority w:val="0"/>
    <w:pPr>
      <w:ind w:firstLine="420"/>
    </w:pPr>
    <w:rPr>
      <w:rFonts w:ascii="Times New Roman" w:hAnsi="Times New Roman" w:cs="Times New Roman"/>
      <w:kern w:val="0"/>
      <w:sz w:val="20"/>
      <w:szCs w:val="20"/>
    </w:rPr>
  </w:style>
  <w:style w:type="paragraph" w:styleId="8">
    <w:name w:val="annotation text"/>
    <w:basedOn w:val="1"/>
    <w:qFormat/>
    <w:uiPriority w:val="0"/>
    <w:pPr>
      <w:jc w:val="left"/>
    </w:pPr>
  </w:style>
  <w:style w:type="paragraph" w:styleId="9">
    <w:name w:val="Body Text Indent"/>
    <w:basedOn w:val="1"/>
    <w:qFormat/>
    <w:uiPriority w:val="0"/>
    <w:pPr>
      <w:spacing w:after="120"/>
      <w:ind w:left="420" w:leftChars="200"/>
    </w:pPr>
  </w:style>
  <w:style w:type="paragraph" w:styleId="10">
    <w:name w:val="Plain Text"/>
    <w:basedOn w:val="1"/>
    <w:qFormat/>
    <w:uiPriority w:val="0"/>
    <w:pPr>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宋体" w:hAnsi="Courier New"/>
      <w:kern w:val="0"/>
      <w:sz w:val="20"/>
      <w:szCs w:val="20"/>
      <w:lang w:val="en-US" w:eastAsia="zh-CN"/>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目录 21"/>
    <w:basedOn w:val="1"/>
    <w:next w:val="1"/>
    <w:qFormat/>
    <w:uiPriority w:val="0"/>
    <w:pPr>
      <w:spacing w:before="100" w:beforeAutospacing="1" w:after="100" w:afterAutospacing="1"/>
      <w:ind w:left="420" w:leftChars="200"/>
    </w:pPr>
  </w:style>
  <w:style w:type="paragraph" w:customStyle="1" w:styleId="15">
    <w:name w:val="正文首行缩进1"/>
    <w:basedOn w:val="1"/>
    <w:qFormat/>
    <w:uiPriority w:val="0"/>
    <w:pPr>
      <w:spacing w:line="360" w:lineRule="auto"/>
      <w:ind w:firstLine="200" w:firstLineChars="200"/>
    </w:pPr>
    <w:rPr>
      <w:kern w:val="2"/>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2985</Words>
  <Characters>3374</Characters>
  <Lines>0</Lines>
  <Paragraphs>0</Paragraphs>
  <TotalTime>3</TotalTime>
  <ScaleCrop>false</ScaleCrop>
  <LinksUpToDate>false</LinksUpToDate>
  <CharactersWithSpaces>3640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2021-02-24T07:45:00Z</dcterms:created>
  <dc:creator>maja</dc:creator>
  <cp:lastModifiedBy>马骏安</cp:lastModifiedBy>
  <cp:lastPrinted>2025-09-17T08:36:00Z</cp:lastPrinted>
  <dcterms:modified xsi:type="dcterms:W3CDTF">2025-10-28T07:21:20Z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8A8C54658E2D41C7A1BB357F29FDF6BB</vt:lpwstr>
  </property>
  <property fmtid="{D5CDD505-2E9C-101B-9397-08002B2CF9AE}" pid="4" name="KSOTemplateDocerSaveRecord">
    <vt:lpwstr>eyJoZGlkIjoiNGQxZGUyZmQ5MDU5MjhiNzUxNWY4N2Q0ZGU2Y2VhOTgiLCJ1c2VySWQiOiI3MDM5OTYzMzMifQ==</vt:lpwstr>
  </property>
</Properties>
</file>