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4198ED">
      <w:pPr>
        <w:pStyle w:val="9"/>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110千伏茶东扩建主变工程</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监理）</w:t>
      </w:r>
    </w:p>
    <w:bookmarkEnd w:id="0"/>
    <w:p w14:paraId="30C959FF">
      <w:pPr>
        <w:pStyle w:val="9"/>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14:paraId="7210E4A8">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5F72E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14:paraId="038B373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14:paraId="522FA782">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14:paraId="124E0A0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14:paraId="40A07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7D2FD77">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7DFC9A1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14:paraId="2948026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广供电基〔2025〕87 号</w:t>
            </w:r>
          </w:p>
        </w:tc>
      </w:tr>
      <w:tr w14:paraId="5C860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58942DE7">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218A5CE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noWrap w:val="0"/>
            <w:vAlign w:val="center"/>
          </w:tcPr>
          <w:p w14:paraId="12A1270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穗发改核准〔2024〕35号</w:t>
            </w:r>
          </w:p>
        </w:tc>
      </w:tr>
      <w:tr w14:paraId="71529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06E6624">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6BE67EA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14:paraId="27D5656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广供电资〔2025〕41 号</w:t>
            </w:r>
          </w:p>
        </w:tc>
      </w:tr>
      <w:tr w14:paraId="4714A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44B6789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517DCA22">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28FE1C3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4ED9D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5B0403F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3A3A8C5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5C5C4DC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广州市番禺区</w:t>
            </w:r>
          </w:p>
        </w:tc>
      </w:tr>
      <w:tr w14:paraId="23B35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14:paraId="1171AD1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w:t>
            </w:r>
          </w:p>
        </w:tc>
        <w:tc>
          <w:tcPr>
            <w:tcW w:w="3783" w:type="dxa"/>
            <w:noWrap w:val="0"/>
            <w:vAlign w:val="center"/>
          </w:tcPr>
          <w:p w14:paraId="710A9227">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14:paraId="15FEAA8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广州汇隽电力工程设计有限公司</w:t>
            </w:r>
          </w:p>
        </w:tc>
      </w:tr>
      <w:tr w14:paraId="05853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2" w:hRule="exact"/>
          <w:jc w:val="center"/>
        </w:trPr>
        <w:tc>
          <w:tcPr>
            <w:tcW w:w="776" w:type="dxa"/>
            <w:noWrap w:val="0"/>
            <w:vAlign w:val="center"/>
          </w:tcPr>
          <w:p w14:paraId="1CB0BB7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14:paraId="0C194D54">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工期/服务期</w:t>
            </w:r>
          </w:p>
        </w:tc>
        <w:tc>
          <w:tcPr>
            <w:tcW w:w="5250" w:type="dxa"/>
            <w:noWrap w:val="0"/>
            <w:vAlign w:val="center"/>
          </w:tcPr>
          <w:p w14:paraId="7F3388B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合同签订之日起至2027年12月31日，实际工期以开工报告、竣工报告为准。</w:t>
            </w:r>
          </w:p>
        </w:tc>
      </w:tr>
    </w:tbl>
    <w:p w14:paraId="04C7C5A4">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14:paraId="5087C83A">
      <w:pP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204CBAB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ind w:firstLine="482" w:firstLineChars="200"/>
        <w:jc w:val="left"/>
        <w:textAlignment w:val="auto"/>
        <w:rPr>
          <w:rFonts w:hint="eastAsia" w:asciiTheme="minorEastAsia" w:hAnsiTheme="minorEastAsia" w:eastAsiaTheme="minorEastAsia" w:cstheme="minorEastAsia"/>
          <w:b/>
          <w:bCs/>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bCs/>
          <w:snapToGrid w:val="0"/>
          <w:color w:val="auto"/>
          <w:kern w:val="0"/>
          <w:sz w:val="24"/>
          <w:szCs w:val="24"/>
          <w:highlight w:val="none"/>
          <w:u w:val="none"/>
          <w:vertAlign w:val="baseline"/>
          <w:lang w:val="en-US" w:eastAsia="zh-CN"/>
        </w:rPr>
        <w:t>※变电站部分:</w:t>
      </w:r>
    </w:p>
    <w:p w14:paraId="7A2E0E8D">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1、110kV茶东变电站扩建工程：本期在110kV茶东变电站内扩建1台6.3万千伏安主变压器，同时装设1×2×6兆乏电容器组，本期新建110kV出线1回，10kV出线16回。</w:t>
      </w:r>
    </w:p>
    <w:p w14:paraId="79FE9AAE">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2、对侧220kV番禺站工程：本期茶东#3主变间隔新建电缆线路直接接入番禺站备用间隔，10kV侧增加3 台10兆乏并联电抗器及其开关柜。</w:t>
      </w:r>
    </w:p>
    <w:p w14:paraId="4B69F93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ind w:firstLine="482" w:firstLineChars="200"/>
        <w:jc w:val="left"/>
        <w:textAlignment w:val="auto"/>
        <w:rPr>
          <w:rFonts w:hint="eastAsia" w:asciiTheme="minorEastAsia" w:hAnsiTheme="minorEastAsia" w:eastAsiaTheme="minorEastAsia" w:cstheme="minorEastAsia"/>
          <w:b/>
          <w:bCs/>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bCs/>
          <w:snapToGrid w:val="0"/>
          <w:color w:val="auto"/>
          <w:kern w:val="0"/>
          <w:sz w:val="24"/>
          <w:szCs w:val="24"/>
          <w:highlight w:val="none"/>
          <w:u w:val="none"/>
          <w:vertAlign w:val="baseline"/>
          <w:lang w:val="en-US" w:eastAsia="zh-CN"/>
        </w:rPr>
        <w:t>※电缆线路部分:</w:t>
      </w:r>
    </w:p>
    <w:p w14:paraId="36A9B229">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110千伏番禺至茶东电缆线路工程：新建1回110kV电缆线路，利用政府建设的电缆管沟敷设，接入220kV番禺站110kV母线。新建线路长约3.4km，导线截面采用1200平方毫米。</w:t>
      </w:r>
    </w:p>
    <w:p w14:paraId="1BF9F97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ind w:firstLine="482" w:firstLineChars="200"/>
        <w:jc w:val="left"/>
        <w:textAlignment w:val="auto"/>
        <w:rPr>
          <w:rFonts w:hint="eastAsia" w:asciiTheme="minorEastAsia" w:hAnsiTheme="minorEastAsia" w:eastAsiaTheme="minorEastAsia" w:cstheme="minorEastAsia"/>
          <w:b/>
          <w:bCs/>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bCs/>
          <w:snapToGrid w:val="0"/>
          <w:color w:val="auto"/>
          <w:kern w:val="0"/>
          <w:sz w:val="24"/>
          <w:szCs w:val="24"/>
          <w:highlight w:val="none"/>
          <w:u w:val="none"/>
          <w:vertAlign w:val="baseline"/>
          <w:lang w:val="en-US" w:eastAsia="zh-CN"/>
        </w:rPr>
        <w:t>※通信部分:</w:t>
      </w:r>
    </w:p>
    <w:p w14:paraId="46AE6478">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配套通信设备工程：本工程不新增通信设备，待本期新建光缆投产后，原由租用纤芯承载的光传输网光路调整由新建光缆承载。</w:t>
      </w:r>
    </w:p>
    <w:p w14:paraId="25803D83">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110千伏番禺至茶东通信线路工程：随110kV茶东</w:t>
      </w:r>
      <w:r>
        <w:rPr>
          <w:rFonts w:hint="eastAsia" w:ascii="宋体" w:hAnsi="宋体" w:eastAsia="宋体" w:cs="宋体"/>
          <w:color w:val="auto"/>
          <w:highlight w:val="none"/>
          <w:lang w:val="en-US" w:eastAsia="zh-CN"/>
        </w:rPr>
        <w:t>～</w:t>
      </w:r>
      <w:r>
        <w:rPr>
          <w:rFonts w:hint="eastAsia" w:ascii="宋体" w:hAnsi="宋体" w:eastAsia="宋体" w:cs="宋体"/>
          <w:color w:val="auto"/>
          <w:sz w:val="24"/>
          <w:szCs w:val="24"/>
          <w:highlight w:val="none"/>
          <w:lang w:val="en-US" w:eastAsia="zh-CN"/>
        </w:rPr>
        <w:t>番禺站线路，由茶东站新建1条48芯管道光缆至番禺站，光缆的长度约4.5km（含入站光缆）。</w:t>
      </w:r>
    </w:p>
    <w:p w14:paraId="28E672DA">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color w:val="auto"/>
          <w:highlight w:val="none"/>
          <w:lang w:val="en-US" w:eastAsia="zh-CN"/>
        </w:rPr>
      </w:pPr>
      <w:r>
        <w:rPr>
          <w:rFonts w:hint="eastAsia" w:ascii="宋体" w:hAnsi="宋体" w:eastAsia="宋体" w:cs="宋体"/>
          <w:color w:val="auto"/>
          <w:sz w:val="24"/>
          <w:szCs w:val="24"/>
          <w:highlight w:val="none"/>
          <w:lang w:val="en-US" w:eastAsia="zh-CN"/>
        </w:rPr>
        <w:t>具体建设规模以施工图纸为准。</w:t>
      </w:r>
    </w:p>
    <w:p w14:paraId="074BA158">
      <w:pPr>
        <w:keepNext w:val="0"/>
        <w:keepLines w:val="0"/>
        <w:pageBreakBefore w:val="0"/>
        <w:kinsoku/>
        <w:wordWrap/>
        <w:overflowPunct/>
        <w:topLinePunct w:val="0"/>
        <w:autoSpaceDE/>
        <w:autoSpaceDN/>
        <w:bidi w:val="0"/>
        <w:adjustRightInd/>
        <w:snapToGrid/>
        <w:spacing w:before="157" w:beforeLines="50" w:after="157" w:afterLines="50"/>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二、招标采购范围</w:t>
      </w:r>
    </w:p>
    <w:p w14:paraId="44C4AC3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0" w:firstLineChars="200"/>
        <w:textAlignment w:val="auto"/>
        <w:rPr>
          <w:rFonts w:hint="eastAsia" w:asciiTheme="minorEastAsia" w:hAnsiTheme="minorEastAsia" w:eastAsiaTheme="minorEastAsia" w:cstheme="minorEastAsia"/>
          <w:b w:val="0"/>
          <w:bCs w:val="0"/>
          <w:i w:val="0"/>
          <w:iCs/>
          <w:color w:val="auto"/>
          <w:kern w:val="2"/>
          <w:sz w:val="24"/>
          <w:szCs w:val="24"/>
          <w:highlight w:val="none"/>
          <w:u w:val="single"/>
          <w:lang w:val="en-US" w:eastAsia="zh-CN" w:bidi="ar-SA"/>
        </w:rPr>
      </w:pPr>
      <w:r>
        <w:rPr>
          <w:rFonts w:hint="eastAsia" w:hAnsi="宋体"/>
          <w:color w:val="auto"/>
          <w:sz w:val="24"/>
          <w:szCs w:val="24"/>
          <w:highlight w:val="none"/>
          <w:u w:val="single"/>
        </w:rPr>
        <w:t>勘察设计、施工准备（含三通一平）、施工（含通信）、竣工结算、缺陷责任期、电子化移交的全过程监理</w:t>
      </w:r>
      <w:r>
        <w:rPr>
          <w:rFonts w:hint="eastAsia" w:hAnsi="宋体"/>
          <w:color w:val="auto"/>
          <w:sz w:val="24"/>
          <w:szCs w:val="24"/>
          <w:highlight w:val="none"/>
          <w:u w:val="single"/>
          <w:lang w:eastAsia="zh-CN"/>
        </w:rPr>
        <w:t>，以及初步设计概算（或施工图预算）中监理计费范围以外但与工程相关的监理工作。</w:t>
      </w:r>
      <w:r>
        <w:rPr>
          <w:rFonts w:hint="eastAsia" w:hAnsi="宋体"/>
          <w:color w:val="auto"/>
          <w:sz w:val="24"/>
          <w:szCs w:val="24"/>
          <w:highlight w:val="none"/>
          <w:u w:val="single"/>
        </w:rPr>
        <w:t>按照建设单位要求使用工程信息管理系统</w:t>
      </w:r>
      <w:r>
        <w:rPr>
          <w:rFonts w:hint="eastAsia" w:hAnsi="宋体"/>
          <w:color w:val="auto"/>
          <w:sz w:val="24"/>
          <w:szCs w:val="24"/>
          <w:highlight w:val="none"/>
        </w:rPr>
        <w:t>。</w:t>
      </w:r>
    </w:p>
    <w:p w14:paraId="768815E1">
      <w:pPr>
        <w:pStyle w:val="3"/>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w:t>
      </w:r>
    </w:p>
    <w:tbl>
      <w:tblPr>
        <w:tblStyle w:val="11"/>
        <w:tblpPr w:leftFromText="180" w:rightFromText="180" w:vertAnchor="text" w:horzAnchor="page" w:tblpX="1646" w:tblpY="6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2242"/>
        <w:gridCol w:w="1519"/>
        <w:gridCol w:w="1033"/>
        <w:gridCol w:w="1559"/>
        <w:gridCol w:w="1134"/>
      </w:tblGrid>
      <w:tr w14:paraId="533A7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bottom w:val="single" w:color="auto" w:sz="4" w:space="0"/>
            </w:tcBorders>
            <w:noWrap w:val="0"/>
            <w:vAlign w:val="center"/>
          </w:tcPr>
          <w:p w14:paraId="2A57C663">
            <w:pPr>
              <w:tabs>
                <w:tab w:val="left" w:pos="900"/>
              </w:tabs>
              <w:snapToGrid w:val="0"/>
              <w:ind w:right="-24"/>
              <w:jc w:val="center"/>
              <w:rPr>
                <w:rFonts w:ascii="宋体" w:hAnsi="宋体"/>
                <w:color w:val="auto"/>
                <w:highlight w:val="none"/>
              </w:rPr>
            </w:pPr>
            <w:bookmarkStart w:id="8" w:name="_GoBack"/>
            <w:r>
              <w:rPr>
                <w:rFonts w:hint="eastAsia" w:ascii="宋体" w:hAnsi="宋体"/>
                <w:color w:val="auto"/>
                <w:highlight w:val="none"/>
              </w:rPr>
              <w:t>序号</w:t>
            </w:r>
          </w:p>
        </w:tc>
        <w:tc>
          <w:tcPr>
            <w:tcW w:w="2242" w:type="dxa"/>
            <w:tcBorders>
              <w:bottom w:val="single" w:color="auto" w:sz="4" w:space="0"/>
            </w:tcBorders>
            <w:noWrap w:val="0"/>
            <w:vAlign w:val="center"/>
          </w:tcPr>
          <w:p w14:paraId="155D1739">
            <w:pPr>
              <w:tabs>
                <w:tab w:val="left" w:pos="900"/>
              </w:tabs>
              <w:snapToGrid w:val="0"/>
              <w:ind w:left="282" w:right="-24"/>
              <w:jc w:val="center"/>
              <w:rPr>
                <w:rFonts w:ascii="宋体" w:hAnsi="宋体"/>
                <w:color w:val="auto"/>
                <w:highlight w:val="none"/>
              </w:rPr>
            </w:pPr>
            <w:r>
              <w:rPr>
                <w:rFonts w:hint="eastAsia" w:ascii="宋体" w:hAnsi="宋体"/>
                <w:color w:val="auto"/>
                <w:highlight w:val="none"/>
              </w:rPr>
              <w:t>费用名称</w:t>
            </w:r>
          </w:p>
        </w:tc>
        <w:tc>
          <w:tcPr>
            <w:tcW w:w="1519" w:type="dxa"/>
            <w:noWrap w:val="0"/>
            <w:vAlign w:val="top"/>
          </w:tcPr>
          <w:p w14:paraId="08CCEB13">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最高投标限价(元)</w:t>
            </w:r>
          </w:p>
        </w:tc>
        <w:tc>
          <w:tcPr>
            <w:tcW w:w="1033" w:type="dxa"/>
            <w:tcBorders>
              <w:bottom w:val="single" w:color="auto" w:sz="4" w:space="0"/>
            </w:tcBorders>
            <w:noWrap w:val="0"/>
            <w:vAlign w:val="center"/>
          </w:tcPr>
          <w:p w14:paraId="14E6107C">
            <w:pPr>
              <w:tabs>
                <w:tab w:val="left" w:pos="900"/>
              </w:tabs>
              <w:snapToGrid w:val="0"/>
              <w:spacing w:before="120" w:after="120"/>
              <w:ind w:right="-24"/>
              <w:jc w:val="center"/>
              <w:rPr>
                <w:rFonts w:hint="eastAsia" w:ascii="宋体" w:hAnsi="宋体" w:eastAsia="宋体"/>
                <w:b/>
                <w:color w:val="auto"/>
                <w:highlight w:val="none"/>
                <w:lang w:eastAsia="zh-CN"/>
              </w:rPr>
            </w:pPr>
            <w:r>
              <w:rPr>
                <w:rFonts w:hint="eastAsia" w:ascii="宋体" w:hAnsi="宋体"/>
                <w:b w:val="0"/>
                <w:bCs/>
                <w:color w:val="auto"/>
                <w:highlight w:val="none"/>
              </w:rPr>
              <w:t>投标下浮率</w:t>
            </w:r>
          </w:p>
        </w:tc>
        <w:tc>
          <w:tcPr>
            <w:tcW w:w="1559" w:type="dxa"/>
            <w:tcBorders>
              <w:bottom w:val="single" w:color="auto" w:sz="4" w:space="0"/>
            </w:tcBorders>
            <w:noWrap w:val="0"/>
            <w:vAlign w:val="top"/>
          </w:tcPr>
          <w:p w14:paraId="058B699D">
            <w:pPr>
              <w:tabs>
                <w:tab w:val="left" w:pos="900"/>
              </w:tabs>
              <w:snapToGrid w:val="0"/>
              <w:spacing w:before="120" w:after="120"/>
              <w:ind w:right="-24"/>
              <w:jc w:val="center"/>
              <w:rPr>
                <w:rFonts w:ascii="宋体" w:hAnsi="宋体"/>
                <w:color w:val="auto"/>
                <w:highlight w:val="none"/>
              </w:rPr>
            </w:pPr>
            <w:r>
              <w:rPr>
                <w:rFonts w:hint="eastAsia" w:ascii="宋体" w:hAnsi="宋体" w:cs="宋体"/>
                <w:color w:val="auto"/>
                <w:kern w:val="0"/>
                <w:szCs w:val="21"/>
                <w:highlight w:val="none"/>
                <w:lang w:bidi="ar"/>
              </w:rPr>
              <w:t>投标报价</w:t>
            </w:r>
            <w:r>
              <w:rPr>
                <w:rFonts w:hint="eastAsia" w:ascii="宋体" w:hAnsi="宋体"/>
                <w:color w:val="auto"/>
                <w:highlight w:val="none"/>
              </w:rPr>
              <w:t>(元)</w:t>
            </w:r>
          </w:p>
        </w:tc>
        <w:tc>
          <w:tcPr>
            <w:tcW w:w="1134" w:type="dxa"/>
            <w:tcBorders>
              <w:bottom w:val="single" w:color="auto" w:sz="4" w:space="0"/>
            </w:tcBorders>
            <w:noWrap w:val="0"/>
            <w:vAlign w:val="center"/>
          </w:tcPr>
          <w:p w14:paraId="334AB8ED">
            <w:pPr>
              <w:tabs>
                <w:tab w:val="left" w:pos="900"/>
              </w:tabs>
              <w:snapToGrid w:val="0"/>
              <w:spacing w:before="120" w:after="120"/>
              <w:ind w:right="-24"/>
              <w:jc w:val="center"/>
              <w:rPr>
                <w:rFonts w:ascii="宋体" w:hAnsi="宋体"/>
                <w:color w:val="auto"/>
                <w:highlight w:val="none"/>
              </w:rPr>
            </w:pPr>
            <w:r>
              <w:rPr>
                <w:rFonts w:hint="eastAsia" w:ascii="宋体" w:hAnsi="宋体"/>
                <w:color w:val="auto"/>
                <w:highlight w:val="none"/>
              </w:rPr>
              <w:t>备注</w:t>
            </w:r>
          </w:p>
        </w:tc>
      </w:tr>
      <w:tr w14:paraId="32EA4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14:paraId="6C04E19F">
            <w:pPr>
              <w:widowControl/>
              <w:spacing w:beforeLines="0" w:afterLines="0"/>
              <w:jc w:val="center"/>
              <w:textAlignment w:val="center"/>
              <w:rPr>
                <w:rFonts w:hint="default" w:ascii="宋体" w:hAnsi="宋体" w:eastAsia="宋体" w:cs="宋体"/>
                <w:b/>
                <w:color w:val="000000"/>
                <w:kern w:val="2"/>
                <w:sz w:val="20"/>
                <w:szCs w:val="20"/>
                <w:lang w:val="en-US" w:eastAsia="zh-CN" w:bidi="ar-SA"/>
              </w:rPr>
            </w:pPr>
            <w:r>
              <w:rPr>
                <w:rFonts w:hint="default" w:ascii="宋体" w:hAnsi="宋体" w:cs="宋体"/>
                <w:b/>
                <w:color w:val="000000"/>
                <w:kern w:val="0"/>
                <w:sz w:val="20"/>
                <w:szCs w:val="20"/>
                <w:lang w:bidi="ar"/>
              </w:rPr>
              <w:t>一</w:t>
            </w:r>
          </w:p>
        </w:tc>
        <w:tc>
          <w:tcPr>
            <w:tcW w:w="2242" w:type="dxa"/>
            <w:tcBorders>
              <w:top w:val="single" w:color="auto" w:sz="4" w:space="0"/>
              <w:bottom w:val="single" w:color="auto" w:sz="4" w:space="0"/>
            </w:tcBorders>
            <w:noWrap w:val="0"/>
            <w:vAlign w:val="center"/>
          </w:tcPr>
          <w:p w14:paraId="5DEE8E09">
            <w:pPr>
              <w:widowControl/>
              <w:spacing w:beforeLines="0" w:afterLines="0"/>
              <w:jc w:val="left"/>
              <w:textAlignment w:val="center"/>
              <w:rPr>
                <w:rFonts w:hint="eastAsia" w:ascii="宋体" w:hAnsi="宋体" w:eastAsia="宋体" w:cs="宋体"/>
                <w:b/>
                <w:color w:val="000000"/>
                <w:kern w:val="2"/>
                <w:sz w:val="20"/>
                <w:szCs w:val="20"/>
                <w:lang w:val="en-US" w:eastAsia="zh-CN" w:bidi="ar-SA"/>
              </w:rPr>
            </w:pPr>
            <w:r>
              <w:rPr>
                <w:rFonts w:hint="default" w:ascii="宋体" w:hAnsi="宋体" w:cs="宋体"/>
                <w:b/>
                <w:color w:val="000000"/>
                <w:kern w:val="0"/>
                <w:sz w:val="20"/>
                <w:szCs w:val="20"/>
                <w:lang w:bidi="ar"/>
              </w:rPr>
              <w:t>变电站工程</w:t>
            </w:r>
          </w:p>
        </w:tc>
        <w:tc>
          <w:tcPr>
            <w:tcW w:w="1519" w:type="dxa"/>
            <w:noWrap w:val="0"/>
            <w:vAlign w:val="center"/>
          </w:tcPr>
          <w:p w14:paraId="1A96F536">
            <w:pPr>
              <w:widowControl/>
              <w:spacing w:beforeLines="0" w:afterLines="0"/>
              <w:jc w:val="center"/>
              <w:textAlignment w:val="center"/>
              <w:rPr>
                <w:rFonts w:hint="default" w:ascii="宋体" w:hAnsi="宋体" w:eastAsia="宋体" w:cs="宋体"/>
                <w:b/>
                <w:color w:val="000000"/>
                <w:kern w:val="2"/>
                <w:sz w:val="20"/>
                <w:szCs w:val="20"/>
                <w:lang w:val="en-US" w:eastAsia="zh-CN" w:bidi="ar-SA"/>
              </w:rPr>
            </w:pPr>
            <w:r>
              <w:rPr>
                <w:rFonts w:hint="default" w:ascii="宋体" w:hAnsi="宋体" w:cs="宋体"/>
                <w:b/>
                <w:color w:val="000000"/>
                <w:kern w:val="0"/>
                <w:sz w:val="20"/>
                <w:szCs w:val="20"/>
                <w:lang w:bidi="ar"/>
              </w:rPr>
              <w:t>2097</w:t>
            </w:r>
            <w:r>
              <w:rPr>
                <w:rFonts w:hint="eastAsia" w:ascii="宋体" w:hAnsi="宋体" w:cs="宋体"/>
                <w:b/>
                <w:color w:val="000000"/>
                <w:kern w:val="0"/>
                <w:sz w:val="20"/>
                <w:szCs w:val="20"/>
                <w:lang w:val="en-US" w:eastAsia="zh-CN" w:bidi="ar"/>
              </w:rPr>
              <w:t>00.00</w:t>
            </w:r>
          </w:p>
        </w:tc>
        <w:tc>
          <w:tcPr>
            <w:tcW w:w="1033" w:type="dxa"/>
            <w:vMerge w:val="restart"/>
            <w:tcBorders>
              <w:top w:val="single" w:color="auto" w:sz="4" w:space="0"/>
            </w:tcBorders>
            <w:noWrap w:val="0"/>
            <w:vAlign w:val="center"/>
          </w:tcPr>
          <w:p w14:paraId="2AB3FD41">
            <w:pPr>
              <w:tabs>
                <w:tab w:val="left" w:pos="900"/>
              </w:tabs>
              <w:snapToGrid w:val="0"/>
              <w:spacing w:before="60" w:after="120"/>
              <w:ind w:right="-24"/>
              <w:jc w:val="center"/>
              <w:rPr>
                <w:rFonts w:ascii="宋体" w:hAnsi="宋体"/>
                <w:color w:val="auto"/>
                <w:highlight w:val="none"/>
              </w:rPr>
            </w:pP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lang w:val="en-US" w:eastAsia="zh-CN"/>
              </w:rPr>
              <w:t>%</w:t>
            </w:r>
          </w:p>
        </w:tc>
        <w:tc>
          <w:tcPr>
            <w:tcW w:w="1559" w:type="dxa"/>
            <w:tcBorders>
              <w:top w:val="single" w:color="auto" w:sz="4" w:space="0"/>
            </w:tcBorders>
            <w:noWrap w:val="0"/>
            <w:vAlign w:val="top"/>
          </w:tcPr>
          <w:p w14:paraId="4043109E">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14:paraId="6804CD03">
            <w:pPr>
              <w:tabs>
                <w:tab w:val="left" w:pos="900"/>
              </w:tabs>
              <w:snapToGrid w:val="0"/>
              <w:spacing w:before="60" w:after="120"/>
              <w:ind w:right="-24"/>
              <w:jc w:val="center"/>
              <w:rPr>
                <w:rFonts w:ascii="宋体" w:hAnsi="宋体"/>
                <w:color w:val="auto"/>
                <w:highlight w:val="none"/>
              </w:rPr>
            </w:pPr>
          </w:p>
        </w:tc>
      </w:tr>
      <w:tr w14:paraId="31F71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14:paraId="42ED4418">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1</w:t>
            </w:r>
          </w:p>
        </w:tc>
        <w:tc>
          <w:tcPr>
            <w:tcW w:w="2242" w:type="dxa"/>
            <w:tcBorders>
              <w:top w:val="single" w:color="auto" w:sz="4" w:space="0"/>
              <w:bottom w:val="single" w:color="auto" w:sz="4" w:space="0"/>
            </w:tcBorders>
            <w:noWrap w:val="0"/>
            <w:vAlign w:val="center"/>
          </w:tcPr>
          <w:p w14:paraId="00C59ADE">
            <w:pPr>
              <w:widowControl/>
              <w:spacing w:beforeLines="0" w:afterLines="0"/>
              <w:jc w:val="left"/>
              <w:textAlignment w:val="center"/>
              <w:rPr>
                <w:rFonts w:hint="eastAsia"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110kV茶东变电站扩建工程</w:t>
            </w:r>
          </w:p>
        </w:tc>
        <w:tc>
          <w:tcPr>
            <w:tcW w:w="1519" w:type="dxa"/>
            <w:noWrap w:val="0"/>
            <w:vAlign w:val="center"/>
          </w:tcPr>
          <w:p w14:paraId="535F31F0">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1865</w:t>
            </w:r>
            <w:r>
              <w:rPr>
                <w:rFonts w:hint="eastAsia" w:ascii="宋体" w:hAnsi="宋体" w:cs="宋体"/>
                <w:color w:val="000000"/>
                <w:kern w:val="0"/>
                <w:sz w:val="20"/>
                <w:szCs w:val="20"/>
                <w:lang w:val="en-US" w:eastAsia="zh-CN" w:bidi="ar"/>
              </w:rPr>
              <w:t>00.00</w:t>
            </w:r>
            <w:r>
              <w:rPr>
                <w:rFonts w:hint="default" w:ascii="宋体" w:hAnsi="宋体" w:cs="宋体"/>
                <w:color w:val="000000"/>
                <w:kern w:val="0"/>
                <w:sz w:val="20"/>
                <w:szCs w:val="20"/>
                <w:lang w:bidi="ar"/>
              </w:rPr>
              <w:t xml:space="preserve"> </w:t>
            </w:r>
          </w:p>
        </w:tc>
        <w:tc>
          <w:tcPr>
            <w:tcW w:w="1033" w:type="dxa"/>
            <w:vMerge w:val="continue"/>
            <w:noWrap w:val="0"/>
            <w:vAlign w:val="center"/>
          </w:tcPr>
          <w:p w14:paraId="089E5F39">
            <w:pPr>
              <w:tabs>
                <w:tab w:val="left" w:pos="900"/>
              </w:tabs>
              <w:snapToGrid w:val="0"/>
              <w:spacing w:before="60" w:after="120"/>
              <w:ind w:right="-24"/>
              <w:jc w:val="center"/>
              <w:rPr>
                <w:rFonts w:ascii="宋体" w:hAnsi="宋体"/>
                <w:color w:val="auto"/>
                <w:highlight w:val="none"/>
              </w:rPr>
            </w:pPr>
          </w:p>
        </w:tc>
        <w:tc>
          <w:tcPr>
            <w:tcW w:w="1559" w:type="dxa"/>
            <w:tcBorders>
              <w:top w:val="single" w:color="auto" w:sz="4" w:space="0"/>
            </w:tcBorders>
            <w:noWrap w:val="0"/>
            <w:vAlign w:val="top"/>
          </w:tcPr>
          <w:p w14:paraId="6244C1B9">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14:paraId="2856BD2C">
            <w:pPr>
              <w:tabs>
                <w:tab w:val="left" w:pos="900"/>
              </w:tabs>
              <w:snapToGrid w:val="0"/>
              <w:spacing w:before="60" w:after="120"/>
              <w:ind w:right="-24"/>
              <w:jc w:val="center"/>
              <w:rPr>
                <w:rFonts w:ascii="宋体" w:hAnsi="宋体"/>
                <w:color w:val="auto"/>
                <w:highlight w:val="none"/>
              </w:rPr>
            </w:pPr>
          </w:p>
        </w:tc>
      </w:tr>
      <w:tr w14:paraId="32EC7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14:paraId="1C0DBC29">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2</w:t>
            </w:r>
          </w:p>
        </w:tc>
        <w:tc>
          <w:tcPr>
            <w:tcW w:w="2242" w:type="dxa"/>
            <w:tcBorders>
              <w:top w:val="single" w:color="auto" w:sz="4" w:space="0"/>
              <w:bottom w:val="single" w:color="auto" w:sz="4" w:space="0"/>
            </w:tcBorders>
            <w:noWrap w:val="0"/>
            <w:vAlign w:val="center"/>
          </w:tcPr>
          <w:p w14:paraId="23F19A91">
            <w:pPr>
              <w:widowControl/>
              <w:spacing w:beforeLines="0" w:afterLines="0"/>
              <w:jc w:val="left"/>
              <w:textAlignment w:val="center"/>
              <w:rPr>
                <w:rFonts w:hint="eastAsia"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对侧220kV番禺站工程</w:t>
            </w:r>
          </w:p>
        </w:tc>
        <w:tc>
          <w:tcPr>
            <w:tcW w:w="1519" w:type="dxa"/>
            <w:noWrap w:val="0"/>
            <w:vAlign w:val="center"/>
          </w:tcPr>
          <w:p w14:paraId="0C97E60F">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232</w:t>
            </w:r>
            <w:r>
              <w:rPr>
                <w:rFonts w:hint="eastAsia" w:ascii="宋体" w:hAnsi="宋体" w:cs="宋体"/>
                <w:color w:val="000000"/>
                <w:kern w:val="0"/>
                <w:sz w:val="20"/>
                <w:szCs w:val="20"/>
                <w:lang w:val="en-US" w:eastAsia="zh-CN" w:bidi="ar"/>
              </w:rPr>
              <w:t>00.00</w:t>
            </w:r>
            <w:r>
              <w:rPr>
                <w:rFonts w:hint="default" w:ascii="宋体" w:hAnsi="宋体" w:cs="宋体"/>
                <w:color w:val="000000"/>
                <w:kern w:val="0"/>
                <w:sz w:val="20"/>
                <w:szCs w:val="20"/>
                <w:lang w:bidi="ar"/>
              </w:rPr>
              <w:t xml:space="preserve"> </w:t>
            </w:r>
          </w:p>
        </w:tc>
        <w:tc>
          <w:tcPr>
            <w:tcW w:w="1033" w:type="dxa"/>
            <w:vMerge w:val="continue"/>
            <w:noWrap w:val="0"/>
            <w:vAlign w:val="center"/>
          </w:tcPr>
          <w:p w14:paraId="367E3147">
            <w:pPr>
              <w:tabs>
                <w:tab w:val="left" w:pos="900"/>
              </w:tabs>
              <w:snapToGrid w:val="0"/>
              <w:spacing w:before="60" w:after="120"/>
              <w:ind w:right="-24"/>
              <w:jc w:val="center"/>
              <w:rPr>
                <w:rFonts w:ascii="宋体" w:hAnsi="宋体"/>
                <w:color w:val="auto"/>
                <w:highlight w:val="none"/>
              </w:rPr>
            </w:pPr>
          </w:p>
        </w:tc>
        <w:tc>
          <w:tcPr>
            <w:tcW w:w="1559" w:type="dxa"/>
            <w:tcBorders>
              <w:top w:val="single" w:color="auto" w:sz="4" w:space="0"/>
            </w:tcBorders>
            <w:noWrap w:val="0"/>
            <w:vAlign w:val="top"/>
          </w:tcPr>
          <w:p w14:paraId="4E8B5B4E">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14:paraId="3DDAF460">
            <w:pPr>
              <w:tabs>
                <w:tab w:val="left" w:pos="900"/>
              </w:tabs>
              <w:snapToGrid w:val="0"/>
              <w:spacing w:before="60" w:after="120"/>
              <w:ind w:right="-24"/>
              <w:jc w:val="center"/>
              <w:rPr>
                <w:rFonts w:ascii="宋体" w:hAnsi="宋体"/>
                <w:color w:val="auto"/>
                <w:highlight w:val="none"/>
              </w:rPr>
            </w:pPr>
          </w:p>
        </w:tc>
      </w:tr>
      <w:tr w14:paraId="6AED6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14:paraId="3DE658A1">
            <w:pPr>
              <w:widowControl/>
              <w:spacing w:beforeLines="0" w:afterLines="0"/>
              <w:jc w:val="center"/>
              <w:textAlignment w:val="center"/>
              <w:rPr>
                <w:rFonts w:hint="default" w:ascii="宋体" w:hAnsi="宋体" w:eastAsia="宋体" w:cs="宋体"/>
                <w:b/>
                <w:color w:val="000000"/>
                <w:kern w:val="2"/>
                <w:sz w:val="20"/>
                <w:szCs w:val="20"/>
                <w:lang w:val="en-US" w:eastAsia="zh-CN" w:bidi="ar-SA"/>
              </w:rPr>
            </w:pPr>
            <w:r>
              <w:rPr>
                <w:rFonts w:hint="default" w:ascii="宋体" w:hAnsi="宋体" w:cs="宋体"/>
                <w:b/>
                <w:color w:val="000000"/>
                <w:kern w:val="0"/>
                <w:sz w:val="20"/>
                <w:szCs w:val="20"/>
                <w:lang w:bidi="ar"/>
              </w:rPr>
              <w:t>二</w:t>
            </w:r>
          </w:p>
        </w:tc>
        <w:tc>
          <w:tcPr>
            <w:tcW w:w="2242" w:type="dxa"/>
            <w:tcBorders>
              <w:top w:val="single" w:color="auto" w:sz="4" w:space="0"/>
              <w:bottom w:val="single" w:color="auto" w:sz="4" w:space="0"/>
            </w:tcBorders>
            <w:noWrap w:val="0"/>
            <w:vAlign w:val="center"/>
          </w:tcPr>
          <w:p w14:paraId="09E78C49">
            <w:pPr>
              <w:widowControl/>
              <w:spacing w:beforeLines="0" w:afterLines="0"/>
              <w:jc w:val="left"/>
              <w:textAlignment w:val="center"/>
              <w:rPr>
                <w:rFonts w:hint="eastAsia" w:ascii="宋体" w:hAnsi="宋体" w:eastAsia="宋体" w:cs="宋体"/>
                <w:b/>
                <w:color w:val="000000"/>
                <w:kern w:val="2"/>
                <w:sz w:val="20"/>
                <w:szCs w:val="20"/>
                <w:lang w:val="en-US" w:eastAsia="zh-CN" w:bidi="ar-SA"/>
              </w:rPr>
            </w:pPr>
            <w:r>
              <w:rPr>
                <w:rFonts w:hint="default" w:ascii="宋体" w:hAnsi="宋体" w:cs="宋体"/>
                <w:b/>
                <w:color w:val="000000"/>
                <w:kern w:val="0"/>
                <w:sz w:val="20"/>
                <w:szCs w:val="20"/>
                <w:lang w:bidi="ar"/>
              </w:rPr>
              <w:t>110kV线路工程</w:t>
            </w:r>
          </w:p>
        </w:tc>
        <w:tc>
          <w:tcPr>
            <w:tcW w:w="1519" w:type="dxa"/>
            <w:noWrap w:val="0"/>
            <w:vAlign w:val="center"/>
          </w:tcPr>
          <w:p w14:paraId="3B470049">
            <w:pPr>
              <w:widowControl/>
              <w:spacing w:beforeLines="0" w:afterLines="0"/>
              <w:jc w:val="center"/>
              <w:textAlignment w:val="center"/>
              <w:rPr>
                <w:rFonts w:hint="default" w:ascii="宋体" w:hAnsi="宋体" w:eastAsia="宋体" w:cs="宋体"/>
                <w:b/>
                <w:color w:val="000000"/>
                <w:kern w:val="2"/>
                <w:sz w:val="20"/>
                <w:szCs w:val="20"/>
                <w:lang w:val="en-US" w:eastAsia="zh-CN" w:bidi="ar-SA"/>
              </w:rPr>
            </w:pPr>
            <w:r>
              <w:rPr>
                <w:rFonts w:hint="default" w:ascii="宋体" w:hAnsi="宋体" w:cs="宋体"/>
                <w:b/>
                <w:color w:val="000000"/>
                <w:kern w:val="0"/>
                <w:sz w:val="20"/>
                <w:szCs w:val="20"/>
                <w:lang w:bidi="ar"/>
              </w:rPr>
              <w:t>1062</w:t>
            </w:r>
            <w:r>
              <w:rPr>
                <w:rFonts w:hint="eastAsia" w:ascii="宋体" w:hAnsi="宋体" w:cs="宋体"/>
                <w:b/>
                <w:color w:val="000000"/>
                <w:kern w:val="0"/>
                <w:sz w:val="20"/>
                <w:szCs w:val="20"/>
                <w:lang w:val="en-US" w:eastAsia="zh-CN" w:bidi="ar"/>
              </w:rPr>
              <w:t>00.00</w:t>
            </w:r>
            <w:r>
              <w:rPr>
                <w:rFonts w:hint="default" w:ascii="宋体" w:hAnsi="宋体" w:cs="宋体"/>
                <w:b/>
                <w:color w:val="000000"/>
                <w:kern w:val="0"/>
                <w:sz w:val="20"/>
                <w:szCs w:val="20"/>
                <w:lang w:bidi="ar"/>
              </w:rPr>
              <w:t xml:space="preserve"> </w:t>
            </w:r>
          </w:p>
        </w:tc>
        <w:tc>
          <w:tcPr>
            <w:tcW w:w="1033" w:type="dxa"/>
            <w:vMerge w:val="continue"/>
            <w:noWrap w:val="0"/>
            <w:vAlign w:val="center"/>
          </w:tcPr>
          <w:p w14:paraId="19699DDD">
            <w:pPr>
              <w:tabs>
                <w:tab w:val="left" w:pos="900"/>
              </w:tabs>
              <w:snapToGrid w:val="0"/>
              <w:spacing w:before="60" w:after="120"/>
              <w:ind w:right="-24"/>
              <w:jc w:val="center"/>
              <w:rPr>
                <w:rFonts w:ascii="宋体" w:hAnsi="宋体"/>
                <w:color w:val="auto"/>
                <w:highlight w:val="none"/>
              </w:rPr>
            </w:pPr>
          </w:p>
        </w:tc>
        <w:tc>
          <w:tcPr>
            <w:tcW w:w="1559" w:type="dxa"/>
            <w:tcBorders>
              <w:top w:val="single" w:color="auto" w:sz="4" w:space="0"/>
            </w:tcBorders>
            <w:noWrap w:val="0"/>
            <w:vAlign w:val="top"/>
          </w:tcPr>
          <w:p w14:paraId="46497D9B">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14:paraId="5CB99221">
            <w:pPr>
              <w:tabs>
                <w:tab w:val="left" w:pos="900"/>
              </w:tabs>
              <w:snapToGrid w:val="0"/>
              <w:spacing w:before="60" w:after="120"/>
              <w:ind w:right="-24"/>
              <w:jc w:val="center"/>
              <w:rPr>
                <w:rFonts w:ascii="宋体" w:hAnsi="宋体"/>
                <w:color w:val="auto"/>
                <w:highlight w:val="none"/>
              </w:rPr>
            </w:pPr>
          </w:p>
        </w:tc>
      </w:tr>
      <w:tr w14:paraId="576A8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14:paraId="32A77D9C">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 xml:space="preserve">1 </w:t>
            </w:r>
          </w:p>
        </w:tc>
        <w:tc>
          <w:tcPr>
            <w:tcW w:w="2242" w:type="dxa"/>
            <w:tcBorders>
              <w:top w:val="single" w:color="auto" w:sz="4" w:space="0"/>
              <w:bottom w:val="single" w:color="auto" w:sz="4" w:space="0"/>
            </w:tcBorders>
            <w:noWrap w:val="0"/>
            <w:vAlign w:val="center"/>
          </w:tcPr>
          <w:p w14:paraId="7B10266C">
            <w:pPr>
              <w:widowControl/>
              <w:spacing w:beforeLines="0" w:afterLines="0"/>
              <w:jc w:val="left"/>
              <w:textAlignment w:val="center"/>
              <w:rPr>
                <w:rFonts w:hint="eastAsia"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110千伏番禺至茶东电缆线路工程</w:t>
            </w:r>
          </w:p>
        </w:tc>
        <w:tc>
          <w:tcPr>
            <w:tcW w:w="1519" w:type="dxa"/>
            <w:noWrap w:val="0"/>
            <w:vAlign w:val="center"/>
          </w:tcPr>
          <w:p w14:paraId="24B55F6D">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1062</w:t>
            </w:r>
            <w:r>
              <w:rPr>
                <w:rFonts w:hint="eastAsia" w:ascii="宋体" w:hAnsi="宋体" w:cs="宋体"/>
                <w:color w:val="000000"/>
                <w:kern w:val="0"/>
                <w:sz w:val="20"/>
                <w:szCs w:val="20"/>
                <w:lang w:val="en-US" w:eastAsia="zh-CN" w:bidi="ar"/>
              </w:rPr>
              <w:t>00.00</w:t>
            </w:r>
            <w:r>
              <w:rPr>
                <w:rFonts w:hint="default" w:ascii="宋体" w:hAnsi="宋体" w:cs="宋体"/>
                <w:color w:val="000000"/>
                <w:kern w:val="0"/>
                <w:sz w:val="20"/>
                <w:szCs w:val="20"/>
                <w:lang w:bidi="ar"/>
              </w:rPr>
              <w:t xml:space="preserve"> </w:t>
            </w:r>
          </w:p>
        </w:tc>
        <w:tc>
          <w:tcPr>
            <w:tcW w:w="1033" w:type="dxa"/>
            <w:vMerge w:val="continue"/>
            <w:noWrap w:val="0"/>
            <w:vAlign w:val="center"/>
          </w:tcPr>
          <w:p w14:paraId="380AD0AE">
            <w:pPr>
              <w:tabs>
                <w:tab w:val="left" w:pos="900"/>
              </w:tabs>
              <w:snapToGrid w:val="0"/>
              <w:spacing w:before="60" w:after="120"/>
              <w:ind w:right="-24"/>
              <w:jc w:val="center"/>
              <w:rPr>
                <w:rFonts w:ascii="宋体" w:hAnsi="宋体"/>
                <w:color w:val="auto"/>
                <w:highlight w:val="none"/>
              </w:rPr>
            </w:pPr>
          </w:p>
        </w:tc>
        <w:tc>
          <w:tcPr>
            <w:tcW w:w="1559" w:type="dxa"/>
            <w:tcBorders>
              <w:top w:val="single" w:color="auto" w:sz="4" w:space="0"/>
            </w:tcBorders>
            <w:noWrap w:val="0"/>
            <w:vAlign w:val="top"/>
          </w:tcPr>
          <w:p w14:paraId="383C18AE">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14:paraId="50AA9B76">
            <w:pPr>
              <w:tabs>
                <w:tab w:val="left" w:pos="900"/>
              </w:tabs>
              <w:snapToGrid w:val="0"/>
              <w:spacing w:before="60" w:after="120"/>
              <w:ind w:right="-24"/>
              <w:jc w:val="center"/>
              <w:rPr>
                <w:rFonts w:ascii="宋体" w:hAnsi="宋体"/>
                <w:color w:val="auto"/>
                <w:highlight w:val="none"/>
              </w:rPr>
            </w:pPr>
          </w:p>
        </w:tc>
      </w:tr>
      <w:tr w14:paraId="2D4A9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14:paraId="0DC3B39A">
            <w:pPr>
              <w:widowControl/>
              <w:spacing w:beforeLines="0" w:afterLines="0"/>
              <w:jc w:val="center"/>
              <w:textAlignment w:val="center"/>
              <w:rPr>
                <w:rFonts w:hint="default" w:ascii="宋体" w:hAnsi="宋体" w:eastAsia="宋体" w:cs="宋体"/>
                <w:b/>
                <w:color w:val="000000"/>
                <w:kern w:val="2"/>
                <w:sz w:val="20"/>
                <w:szCs w:val="20"/>
                <w:lang w:val="en-US" w:eastAsia="zh-CN" w:bidi="ar-SA"/>
              </w:rPr>
            </w:pPr>
            <w:r>
              <w:rPr>
                <w:rFonts w:hint="default" w:ascii="宋体" w:hAnsi="宋体" w:cs="宋体"/>
                <w:b/>
                <w:color w:val="000000"/>
                <w:kern w:val="0"/>
                <w:sz w:val="20"/>
                <w:szCs w:val="20"/>
                <w:lang w:bidi="ar"/>
              </w:rPr>
              <w:t>三</w:t>
            </w:r>
          </w:p>
        </w:tc>
        <w:tc>
          <w:tcPr>
            <w:tcW w:w="2242" w:type="dxa"/>
            <w:tcBorders>
              <w:top w:val="single" w:color="auto" w:sz="4" w:space="0"/>
              <w:bottom w:val="single" w:color="auto" w:sz="4" w:space="0"/>
            </w:tcBorders>
            <w:noWrap w:val="0"/>
            <w:vAlign w:val="center"/>
          </w:tcPr>
          <w:p w14:paraId="55599C6A">
            <w:pPr>
              <w:widowControl/>
              <w:spacing w:beforeLines="0" w:afterLines="0"/>
              <w:jc w:val="left"/>
              <w:textAlignment w:val="center"/>
              <w:rPr>
                <w:rFonts w:hint="eastAsia" w:ascii="宋体" w:hAnsi="宋体" w:eastAsia="宋体" w:cs="宋体"/>
                <w:b/>
                <w:color w:val="000000"/>
                <w:kern w:val="2"/>
                <w:sz w:val="20"/>
                <w:szCs w:val="20"/>
                <w:lang w:val="en-US" w:eastAsia="zh-CN" w:bidi="ar-SA"/>
              </w:rPr>
            </w:pPr>
            <w:r>
              <w:rPr>
                <w:rFonts w:hint="default" w:ascii="宋体" w:hAnsi="宋体" w:cs="宋体"/>
                <w:b/>
                <w:color w:val="000000"/>
                <w:kern w:val="0"/>
                <w:sz w:val="20"/>
                <w:szCs w:val="20"/>
                <w:lang w:bidi="ar"/>
              </w:rPr>
              <w:t>配套通信工程</w:t>
            </w:r>
          </w:p>
        </w:tc>
        <w:tc>
          <w:tcPr>
            <w:tcW w:w="1519" w:type="dxa"/>
            <w:noWrap w:val="0"/>
            <w:vAlign w:val="center"/>
          </w:tcPr>
          <w:p w14:paraId="155B261C">
            <w:pPr>
              <w:widowControl/>
              <w:spacing w:beforeLines="0" w:afterLines="0"/>
              <w:jc w:val="center"/>
              <w:textAlignment w:val="center"/>
              <w:rPr>
                <w:rFonts w:hint="default" w:ascii="宋体" w:hAnsi="宋体" w:eastAsia="宋体" w:cs="宋体"/>
                <w:b/>
                <w:color w:val="000000"/>
                <w:kern w:val="2"/>
                <w:sz w:val="20"/>
                <w:szCs w:val="20"/>
                <w:lang w:val="en-US" w:eastAsia="zh-CN" w:bidi="ar-SA"/>
              </w:rPr>
            </w:pPr>
            <w:r>
              <w:rPr>
                <w:rFonts w:hint="default" w:ascii="宋体" w:hAnsi="宋体" w:cs="宋体"/>
                <w:b/>
                <w:color w:val="000000"/>
                <w:kern w:val="0"/>
                <w:sz w:val="20"/>
                <w:szCs w:val="20"/>
                <w:lang w:bidi="ar"/>
              </w:rPr>
              <w:t>67</w:t>
            </w:r>
            <w:r>
              <w:rPr>
                <w:rFonts w:hint="eastAsia" w:ascii="宋体" w:hAnsi="宋体" w:cs="宋体"/>
                <w:b/>
                <w:color w:val="000000"/>
                <w:kern w:val="0"/>
                <w:sz w:val="20"/>
                <w:szCs w:val="20"/>
                <w:lang w:val="en-US" w:eastAsia="zh-CN" w:bidi="ar"/>
              </w:rPr>
              <w:t>00.00</w:t>
            </w:r>
            <w:r>
              <w:rPr>
                <w:rFonts w:hint="default" w:ascii="宋体" w:hAnsi="宋体" w:cs="宋体"/>
                <w:b/>
                <w:color w:val="000000"/>
                <w:kern w:val="0"/>
                <w:sz w:val="20"/>
                <w:szCs w:val="20"/>
                <w:lang w:bidi="ar"/>
              </w:rPr>
              <w:t xml:space="preserve"> </w:t>
            </w:r>
          </w:p>
        </w:tc>
        <w:tc>
          <w:tcPr>
            <w:tcW w:w="1033" w:type="dxa"/>
            <w:vMerge w:val="continue"/>
            <w:noWrap w:val="0"/>
            <w:vAlign w:val="center"/>
          </w:tcPr>
          <w:p w14:paraId="0B8BFCA4">
            <w:pPr>
              <w:tabs>
                <w:tab w:val="left" w:pos="900"/>
              </w:tabs>
              <w:snapToGrid w:val="0"/>
              <w:spacing w:before="60" w:after="120"/>
              <w:ind w:right="-24"/>
              <w:jc w:val="center"/>
              <w:rPr>
                <w:rFonts w:ascii="宋体" w:hAnsi="宋体"/>
                <w:color w:val="auto"/>
                <w:highlight w:val="none"/>
              </w:rPr>
            </w:pPr>
          </w:p>
        </w:tc>
        <w:tc>
          <w:tcPr>
            <w:tcW w:w="1559" w:type="dxa"/>
            <w:tcBorders>
              <w:top w:val="single" w:color="auto" w:sz="4" w:space="0"/>
            </w:tcBorders>
            <w:noWrap w:val="0"/>
            <w:vAlign w:val="top"/>
          </w:tcPr>
          <w:p w14:paraId="1147E6DE">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14:paraId="6FC19225">
            <w:pPr>
              <w:tabs>
                <w:tab w:val="left" w:pos="900"/>
              </w:tabs>
              <w:snapToGrid w:val="0"/>
              <w:spacing w:before="60" w:after="120"/>
              <w:ind w:right="-24"/>
              <w:jc w:val="center"/>
              <w:rPr>
                <w:rFonts w:ascii="宋体" w:hAnsi="宋体"/>
                <w:color w:val="auto"/>
                <w:highlight w:val="none"/>
              </w:rPr>
            </w:pPr>
          </w:p>
        </w:tc>
      </w:tr>
      <w:tr w14:paraId="0DD8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14:paraId="0C0560CF">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1</w:t>
            </w:r>
          </w:p>
        </w:tc>
        <w:tc>
          <w:tcPr>
            <w:tcW w:w="2242" w:type="dxa"/>
            <w:tcBorders>
              <w:top w:val="single" w:color="auto" w:sz="4" w:space="0"/>
              <w:bottom w:val="single" w:color="auto" w:sz="4" w:space="0"/>
            </w:tcBorders>
            <w:noWrap w:val="0"/>
            <w:vAlign w:val="center"/>
          </w:tcPr>
          <w:p w14:paraId="40376578">
            <w:pPr>
              <w:widowControl/>
              <w:spacing w:beforeLines="0" w:afterLines="0"/>
              <w:jc w:val="left"/>
              <w:textAlignment w:val="center"/>
              <w:rPr>
                <w:rFonts w:hint="eastAsia"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配套通信设备工程</w:t>
            </w:r>
          </w:p>
        </w:tc>
        <w:tc>
          <w:tcPr>
            <w:tcW w:w="1519" w:type="dxa"/>
            <w:noWrap w:val="0"/>
            <w:vAlign w:val="center"/>
          </w:tcPr>
          <w:p w14:paraId="22059ACD">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28</w:t>
            </w:r>
            <w:r>
              <w:rPr>
                <w:rFonts w:hint="eastAsia" w:ascii="宋体" w:hAnsi="宋体" w:cs="宋体"/>
                <w:color w:val="000000"/>
                <w:kern w:val="0"/>
                <w:sz w:val="20"/>
                <w:szCs w:val="20"/>
                <w:lang w:val="en-US" w:eastAsia="zh-CN" w:bidi="ar"/>
              </w:rPr>
              <w:t>00.00</w:t>
            </w:r>
            <w:r>
              <w:rPr>
                <w:rFonts w:hint="default" w:ascii="宋体" w:hAnsi="宋体" w:cs="宋体"/>
                <w:color w:val="000000"/>
                <w:kern w:val="0"/>
                <w:sz w:val="20"/>
                <w:szCs w:val="20"/>
                <w:lang w:bidi="ar"/>
              </w:rPr>
              <w:t xml:space="preserve"> </w:t>
            </w:r>
          </w:p>
        </w:tc>
        <w:tc>
          <w:tcPr>
            <w:tcW w:w="1033" w:type="dxa"/>
            <w:vMerge w:val="continue"/>
            <w:noWrap w:val="0"/>
            <w:vAlign w:val="center"/>
          </w:tcPr>
          <w:p w14:paraId="0E8CD5F1">
            <w:pPr>
              <w:tabs>
                <w:tab w:val="left" w:pos="900"/>
              </w:tabs>
              <w:snapToGrid w:val="0"/>
              <w:spacing w:before="60" w:after="120"/>
              <w:ind w:right="-24"/>
              <w:jc w:val="center"/>
              <w:rPr>
                <w:rFonts w:ascii="宋体" w:hAnsi="宋体"/>
                <w:color w:val="auto"/>
                <w:highlight w:val="none"/>
              </w:rPr>
            </w:pPr>
          </w:p>
        </w:tc>
        <w:tc>
          <w:tcPr>
            <w:tcW w:w="1559" w:type="dxa"/>
            <w:tcBorders>
              <w:top w:val="single" w:color="auto" w:sz="4" w:space="0"/>
            </w:tcBorders>
            <w:noWrap w:val="0"/>
            <w:vAlign w:val="top"/>
          </w:tcPr>
          <w:p w14:paraId="07239D10">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14:paraId="04C4C501">
            <w:pPr>
              <w:tabs>
                <w:tab w:val="left" w:pos="900"/>
              </w:tabs>
              <w:snapToGrid w:val="0"/>
              <w:spacing w:before="60" w:after="120"/>
              <w:ind w:right="-24"/>
              <w:jc w:val="center"/>
              <w:rPr>
                <w:rFonts w:ascii="宋体" w:hAnsi="宋体"/>
                <w:color w:val="auto"/>
                <w:highlight w:val="none"/>
              </w:rPr>
            </w:pPr>
          </w:p>
        </w:tc>
      </w:tr>
      <w:tr w14:paraId="3C81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14:paraId="0A848662">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2</w:t>
            </w:r>
          </w:p>
        </w:tc>
        <w:tc>
          <w:tcPr>
            <w:tcW w:w="2242" w:type="dxa"/>
            <w:tcBorders>
              <w:top w:val="single" w:color="auto" w:sz="4" w:space="0"/>
              <w:bottom w:val="single" w:color="auto" w:sz="4" w:space="0"/>
            </w:tcBorders>
            <w:noWrap w:val="0"/>
            <w:vAlign w:val="center"/>
          </w:tcPr>
          <w:p w14:paraId="22E3B800">
            <w:pPr>
              <w:widowControl/>
              <w:spacing w:beforeLines="0" w:afterLines="0"/>
              <w:jc w:val="left"/>
              <w:textAlignment w:val="center"/>
              <w:rPr>
                <w:rFonts w:hint="eastAsia"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110千伏番禺至茶东通信线路工程</w:t>
            </w:r>
          </w:p>
        </w:tc>
        <w:tc>
          <w:tcPr>
            <w:tcW w:w="1519" w:type="dxa"/>
            <w:noWrap w:val="0"/>
            <w:vAlign w:val="center"/>
          </w:tcPr>
          <w:p w14:paraId="709BEDCB">
            <w:pPr>
              <w:widowControl/>
              <w:spacing w:beforeLines="0" w:afterLines="0"/>
              <w:jc w:val="center"/>
              <w:textAlignment w:val="center"/>
              <w:rPr>
                <w:rFonts w:hint="default" w:ascii="宋体" w:hAnsi="宋体" w:eastAsia="宋体" w:cs="宋体"/>
                <w:color w:val="000000"/>
                <w:kern w:val="2"/>
                <w:sz w:val="20"/>
                <w:szCs w:val="20"/>
                <w:lang w:val="en-US" w:eastAsia="zh-CN" w:bidi="ar-SA"/>
              </w:rPr>
            </w:pPr>
            <w:r>
              <w:rPr>
                <w:rFonts w:hint="default" w:ascii="宋体" w:hAnsi="宋体" w:cs="宋体"/>
                <w:color w:val="000000"/>
                <w:kern w:val="0"/>
                <w:sz w:val="20"/>
                <w:szCs w:val="20"/>
                <w:lang w:bidi="ar"/>
              </w:rPr>
              <w:t>39</w:t>
            </w:r>
            <w:r>
              <w:rPr>
                <w:rFonts w:hint="eastAsia" w:ascii="宋体" w:hAnsi="宋体" w:cs="宋体"/>
                <w:color w:val="000000"/>
                <w:kern w:val="0"/>
                <w:sz w:val="20"/>
                <w:szCs w:val="20"/>
                <w:lang w:val="en-US" w:eastAsia="zh-CN" w:bidi="ar"/>
              </w:rPr>
              <w:t>00.00</w:t>
            </w:r>
            <w:r>
              <w:rPr>
                <w:rFonts w:hint="default" w:ascii="宋体" w:hAnsi="宋体" w:cs="宋体"/>
                <w:color w:val="000000"/>
                <w:kern w:val="0"/>
                <w:sz w:val="20"/>
                <w:szCs w:val="20"/>
                <w:lang w:bidi="ar"/>
              </w:rPr>
              <w:t xml:space="preserve"> </w:t>
            </w:r>
          </w:p>
        </w:tc>
        <w:tc>
          <w:tcPr>
            <w:tcW w:w="1033" w:type="dxa"/>
            <w:vMerge w:val="continue"/>
            <w:noWrap w:val="0"/>
            <w:vAlign w:val="center"/>
          </w:tcPr>
          <w:p w14:paraId="1FD5490A">
            <w:pPr>
              <w:tabs>
                <w:tab w:val="left" w:pos="900"/>
              </w:tabs>
              <w:snapToGrid w:val="0"/>
              <w:spacing w:before="60" w:after="120"/>
              <w:ind w:right="-24"/>
              <w:jc w:val="center"/>
              <w:rPr>
                <w:rFonts w:ascii="宋体" w:hAnsi="宋体"/>
                <w:color w:val="auto"/>
                <w:highlight w:val="none"/>
              </w:rPr>
            </w:pPr>
          </w:p>
        </w:tc>
        <w:tc>
          <w:tcPr>
            <w:tcW w:w="1559" w:type="dxa"/>
            <w:tcBorders>
              <w:top w:val="single" w:color="auto" w:sz="4" w:space="0"/>
            </w:tcBorders>
            <w:noWrap w:val="0"/>
            <w:vAlign w:val="top"/>
          </w:tcPr>
          <w:p w14:paraId="6D66784F">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14:paraId="455425C2">
            <w:pPr>
              <w:tabs>
                <w:tab w:val="left" w:pos="900"/>
              </w:tabs>
              <w:snapToGrid w:val="0"/>
              <w:spacing w:before="60" w:after="120"/>
              <w:ind w:right="-24"/>
              <w:jc w:val="center"/>
              <w:rPr>
                <w:rFonts w:ascii="宋体" w:hAnsi="宋体"/>
                <w:color w:val="auto"/>
                <w:highlight w:val="none"/>
              </w:rPr>
            </w:pPr>
          </w:p>
        </w:tc>
      </w:tr>
      <w:tr w14:paraId="6372B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43" w:type="dxa"/>
            <w:tcBorders>
              <w:top w:val="single" w:color="auto" w:sz="4" w:space="0"/>
              <w:bottom w:val="single" w:color="auto" w:sz="4" w:space="0"/>
            </w:tcBorders>
            <w:noWrap w:val="0"/>
            <w:vAlign w:val="center"/>
          </w:tcPr>
          <w:p w14:paraId="2DAD5A56">
            <w:pPr>
              <w:spacing w:beforeLines="0" w:afterLines="0"/>
              <w:rPr>
                <w:rFonts w:hint="default" w:ascii="宋体" w:hAnsi="宋体" w:eastAsia="宋体" w:cs="宋体"/>
                <w:b/>
                <w:color w:val="000000"/>
                <w:kern w:val="2"/>
                <w:sz w:val="20"/>
                <w:szCs w:val="20"/>
                <w:lang w:val="en-US" w:eastAsia="zh-CN" w:bidi="ar-SA"/>
              </w:rPr>
            </w:pPr>
          </w:p>
        </w:tc>
        <w:tc>
          <w:tcPr>
            <w:tcW w:w="2242" w:type="dxa"/>
            <w:tcBorders>
              <w:top w:val="single" w:color="auto" w:sz="4" w:space="0"/>
              <w:bottom w:val="single" w:color="auto" w:sz="4" w:space="0"/>
            </w:tcBorders>
            <w:noWrap w:val="0"/>
            <w:vAlign w:val="center"/>
          </w:tcPr>
          <w:p w14:paraId="28CF93F3">
            <w:pPr>
              <w:widowControl/>
              <w:spacing w:beforeLines="0" w:afterLines="0"/>
              <w:jc w:val="center"/>
              <w:textAlignment w:val="center"/>
              <w:rPr>
                <w:rFonts w:hint="eastAsia" w:ascii="宋体" w:hAnsi="宋体" w:eastAsia="宋体" w:cs="宋体"/>
                <w:b/>
                <w:color w:val="000000"/>
                <w:kern w:val="2"/>
                <w:sz w:val="20"/>
                <w:szCs w:val="20"/>
                <w:lang w:val="en-US" w:eastAsia="zh-CN" w:bidi="ar-SA"/>
              </w:rPr>
            </w:pPr>
            <w:r>
              <w:rPr>
                <w:rFonts w:hint="default" w:ascii="宋体" w:hAnsi="宋体" w:cs="宋体"/>
                <w:b/>
                <w:color w:val="000000"/>
                <w:kern w:val="0"/>
                <w:sz w:val="20"/>
                <w:szCs w:val="20"/>
                <w:lang w:bidi="ar"/>
              </w:rPr>
              <w:t>合计（ 一 + 二 + 三 ）</w:t>
            </w:r>
          </w:p>
        </w:tc>
        <w:tc>
          <w:tcPr>
            <w:tcW w:w="1519" w:type="dxa"/>
            <w:noWrap w:val="0"/>
            <w:vAlign w:val="center"/>
          </w:tcPr>
          <w:p w14:paraId="58DF78BC">
            <w:pPr>
              <w:widowControl/>
              <w:spacing w:beforeLines="0" w:afterLines="0"/>
              <w:jc w:val="center"/>
              <w:textAlignment w:val="center"/>
              <w:rPr>
                <w:rFonts w:hint="default" w:ascii="宋体" w:hAnsi="宋体" w:eastAsia="宋体" w:cs="宋体"/>
                <w:b/>
                <w:color w:val="000000"/>
                <w:kern w:val="2"/>
                <w:sz w:val="20"/>
                <w:szCs w:val="20"/>
                <w:lang w:val="en-US" w:eastAsia="zh-CN" w:bidi="ar-SA"/>
              </w:rPr>
            </w:pPr>
            <w:r>
              <w:rPr>
                <w:rFonts w:hint="default" w:ascii="宋体" w:hAnsi="宋体" w:cs="宋体"/>
                <w:b/>
                <w:color w:val="000000"/>
                <w:kern w:val="0"/>
                <w:sz w:val="20"/>
                <w:szCs w:val="20"/>
                <w:lang w:bidi="ar"/>
              </w:rPr>
              <w:t>3226</w:t>
            </w:r>
            <w:r>
              <w:rPr>
                <w:rFonts w:hint="eastAsia" w:ascii="宋体" w:hAnsi="宋体" w:cs="宋体"/>
                <w:b/>
                <w:color w:val="000000"/>
                <w:kern w:val="0"/>
                <w:sz w:val="20"/>
                <w:szCs w:val="20"/>
                <w:lang w:val="en-US" w:eastAsia="zh-CN" w:bidi="ar"/>
              </w:rPr>
              <w:t>00.00</w:t>
            </w:r>
            <w:r>
              <w:rPr>
                <w:rFonts w:hint="default" w:ascii="宋体" w:hAnsi="宋体" w:cs="宋体"/>
                <w:b/>
                <w:color w:val="000000"/>
                <w:kern w:val="0"/>
                <w:sz w:val="20"/>
                <w:szCs w:val="20"/>
                <w:lang w:bidi="ar"/>
              </w:rPr>
              <w:t xml:space="preserve"> </w:t>
            </w:r>
          </w:p>
        </w:tc>
        <w:tc>
          <w:tcPr>
            <w:tcW w:w="1033" w:type="dxa"/>
            <w:vMerge w:val="continue"/>
            <w:noWrap w:val="0"/>
            <w:vAlign w:val="center"/>
          </w:tcPr>
          <w:p w14:paraId="016F15D5">
            <w:pPr>
              <w:tabs>
                <w:tab w:val="left" w:pos="900"/>
              </w:tabs>
              <w:snapToGrid w:val="0"/>
              <w:spacing w:before="60" w:after="120"/>
              <w:ind w:right="-24"/>
              <w:jc w:val="center"/>
              <w:rPr>
                <w:rFonts w:ascii="宋体" w:hAnsi="宋体"/>
                <w:color w:val="auto"/>
                <w:highlight w:val="none"/>
              </w:rPr>
            </w:pPr>
          </w:p>
        </w:tc>
        <w:tc>
          <w:tcPr>
            <w:tcW w:w="1559" w:type="dxa"/>
            <w:tcBorders>
              <w:top w:val="single" w:color="auto" w:sz="4" w:space="0"/>
            </w:tcBorders>
            <w:noWrap w:val="0"/>
            <w:vAlign w:val="top"/>
          </w:tcPr>
          <w:p w14:paraId="3F3E42C9">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14:paraId="7F42A34F">
            <w:pPr>
              <w:tabs>
                <w:tab w:val="left" w:pos="900"/>
              </w:tabs>
              <w:snapToGrid w:val="0"/>
              <w:spacing w:before="60" w:after="120"/>
              <w:ind w:right="-24"/>
              <w:jc w:val="center"/>
              <w:rPr>
                <w:rFonts w:ascii="宋体" w:hAnsi="宋体"/>
                <w:color w:val="auto"/>
                <w:highlight w:val="none"/>
              </w:rPr>
            </w:pPr>
          </w:p>
        </w:tc>
      </w:tr>
      <w:tr w14:paraId="44BEF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85" w:type="dxa"/>
            <w:gridSpan w:val="2"/>
            <w:tcBorders>
              <w:top w:val="single" w:color="auto" w:sz="4" w:space="0"/>
              <w:bottom w:val="single" w:color="auto" w:sz="4" w:space="0"/>
            </w:tcBorders>
            <w:noWrap w:val="0"/>
            <w:vAlign w:val="center"/>
          </w:tcPr>
          <w:p w14:paraId="4B7ADDCE">
            <w:pPr>
              <w:tabs>
                <w:tab w:val="left" w:pos="900"/>
              </w:tabs>
              <w:snapToGrid w:val="0"/>
              <w:spacing w:before="60" w:after="120"/>
              <w:ind w:right="-24"/>
              <w:jc w:val="center"/>
              <w:rPr>
                <w:rFonts w:ascii="宋体" w:hAnsi="宋体"/>
                <w:b/>
                <w:color w:val="auto"/>
                <w:szCs w:val="21"/>
                <w:highlight w:val="none"/>
              </w:rPr>
            </w:pPr>
            <w:r>
              <w:rPr>
                <w:rFonts w:hint="eastAsia" w:ascii="宋体" w:hAnsi="宋体"/>
                <w:b/>
                <w:color w:val="auto"/>
                <w:szCs w:val="21"/>
                <w:highlight w:val="none"/>
              </w:rPr>
              <w:t>投标报价总金额(大写)</w:t>
            </w:r>
          </w:p>
        </w:tc>
        <w:tc>
          <w:tcPr>
            <w:tcW w:w="1519" w:type="dxa"/>
            <w:tcBorders>
              <w:top w:val="single" w:color="auto" w:sz="4" w:space="0"/>
              <w:bottom w:val="single" w:color="auto" w:sz="4" w:space="0"/>
              <w:tr2bl w:val="single" w:color="auto" w:sz="4" w:space="0"/>
            </w:tcBorders>
            <w:noWrap w:val="0"/>
            <w:vAlign w:val="top"/>
          </w:tcPr>
          <w:p w14:paraId="09087DAA">
            <w:pPr>
              <w:tabs>
                <w:tab w:val="left" w:pos="900"/>
              </w:tabs>
              <w:snapToGrid w:val="0"/>
              <w:spacing w:before="60" w:after="120"/>
              <w:ind w:right="-24"/>
              <w:jc w:val="center"/>
              <w:rPr>
                <w:rFonts w:ascii="宋体" w:hAnsi="宋体"/>
                <w:color w:val="auto"/>
                <w:highlight w:val="none"/>
              </w:rPr>
            </w:pPr>
          </w:p>
        </w:tc>
        <w:tc>
          <w:tcPr>
            <w:tcW w:w="1033" w:type="dxa"/>
            <w:tcBorders>
              <w:top w:val="single" w:color="auto" w:sz="4" w:space="0"/>
              <w:bottom w:val="single" w:color="auto" w:sz="4" w:space="0"/>
              <w:tr2bl w:val="single" w:color="auto" w:sz="4" w:space="0"/>
            </w:tcBorders>
            <w:noWrap w:val="0"/>
            <w:vAlign w:val="center"/>
          </w:tcPr>
          <w:p w14:paraId="5E657423">
            <w:pPr>
              <w:tabs>
                <w:tab w:val="left" w:pos="900"/>
              </w:tabs>
              <w:snapToGrid w:val="0"/>
              <w:spacing w:before="60" w:after="120"/>
              <w:ind w:right="-24"/>
              <w:jc w:val="center"/>
              <w:rPr>
                <w:rFonts w:ascii="宋体" w:hAnsi="宋体"/>
                <w:color w:val="auto"/>
                <w:highlight w:val="none"/>
              </w:rPr>
            </w:pPr>
          </w:p>
        </w:tc>
        <w:tc>
          <w:tcPr>
            <w:tcW w:w="1559" w:type="dxa"/>
            <w:tcBorders>
              <w:top w:val="single" w:color="auto" w:sz="4" w:space="0"/>
              <w:bottom w:val="single" w:color="auto" w:sz="4" w:space="0"/>
              <w:tr2bl w:val="single" w:color="auto" w:sz="4" w:space="0"/>
            </w:tcBorders>
            <w:noWrap w:val="0"/>
            <w:vAlign w:val="top"/>
          </w:tcPr>
          <w:p w14:paraId="37BF572C">
            <w:pPr>
              <w:tabs>
                <w:tab w:val="left" w:pos="900"/>
              </w:tabs>
              <w:snapToGrid w:val="0"/>
              <w:spacing w:before="60" w:after="120"/>
              <w:ind w:right="-24"/>
              <w:jc w:val="center"/>
              <w:rPr>
                <w:rFonts w:ascii="宋体" w:hAnsi="宋体"/>
                <w:color w:val="auto"/>
                <w:highlight w:val="none"/>
              </w:rPr>
            </w:pPr>
          </w:p>
        </w:tc>
        <w:tc>
          <w:tcPr>
            <w:tcW w:w="1134" w:type="dxa"/>
            <w:tcBorders>
              <w:top w:val="single" w:color="auto" w:sz="4" w:space="0"/>
              <w:bottom w:val="single" w:color="auto" w:sz="4" w:space="0"/>
            </w:tcBorders>
            <w:noWrap w:val="0"/>
            <w:vAlign w:val="center"/>
          </w:tcPr>
          <w:p w14:paraId="5FCDF222">
            <w:pPr>
              <w:tabs>
                <w:tab w:val="left" w:pos="900"/>
              </w:tabs>
              <w:snapToGrid w:val="0"/>
              <w:spacing w:before="60" w:after="120"/>
              <w:ind w:right="-24"/>
              <w:jc w:val="center"/>
              <w:rPr>
                <w:rFonts w:ascii="宋体" w:hAnsi="宋体"/>
                <w:color w:val="auto"/>
                <w:highlight w:val="none"/>
              </w:rPr>
            </w:pPr>
          </w:p>
        </w:tc>
      </w:tr>
      <w:bookmarkEnd w:id="8"/>
    </w:tbl>
    <w:p w14:paraId="1D3AE167">
      <w:pPr>
        <w:pStyle w:val="2"/>
        <w:rPr>
          <w:rFonts w:hint="eastAsia"/>
          <w:color w:val="auto"/>
          <w:highlight w:val="none"/>
          <w:lang w:val="en-US" w:eastAsia="zh-CN"/>
        </w:rPr>
      </w:pPr>
    </w:p>
    <w:p w14:paraId="1417E51D">
      <w:pPr>
        <w:rPr>
          <w:rFonts w:hint="eastAsia"/>
          <w:color w:val="auto"/>
          <w:highlight w:val="none"/>
          <w:lang w:val="en-US" w:eastAsia="zh-CN"/>
        </w:rPr>
      </w:pPr>
    </w:p>
    <w:p w14:paraId="09F0DF59">
      <w:pPr>
        <w:pStyle w:val="2"/>
        <w:rPr>
          <w:rFonts w:hint="eastAsia"/>
          <w:color w:val="auto"/>
          <w:highlight w:val="none"/>
          <w:lang w:val="en-US" w:eastAsia="zh-CN"/>
        </w:rPr>
      </w:pPr>
    </w:p>
    <w:p w14:paraId="2C35D8D6">
      <w:pPr>
        <w:rPr>
          <w:rFonts w:hint="eastAsia"/>
          <w:color w:val="auto"/>
          <w:highlight w:val="none"/>
          <w:lang w:val="en-US" w:eastAsia="zh-CN"/>
        </w:rPr>
      </w:pPr>
    </w:p>
    <w:p w14:paraId="661DAB26">
      <w:pPr>
        <w:pStyle w:val="2"/>
        <w:rPr>
          <w:rFonts w:hint="eastAsia"/>
          <w:color w:val="auto"/>
          <w:highlight w:val="none"/>
          <w:lang w:val="en-US" w:eastAsia="zh-CN"/>
        </w:rPr>
      </w:pPr>
    </w:p>
    <w:p w14:paraId="2AB5C27F">
      <w:pPr>
        <w:rPr>
          <w:rFonts w:hint="eastAsia"/>
          <w:color w:val="auto"/>
          <w:highlight w:val="none"/>
          <w:lang w:val="en-US" w:eastAsia="zh-CN"/>
        </w:rPr>
      </w:pPr>
    </w:p>
    <w:p w14:paraId="6FE76F67">
      <w:pPr>
        <w:pStyle w:val="2"/>
        <w:rPr>
          <w:rFonts w:hint="eastAsia"/>
          <w:color w:val="auto"/>
          <w:highlight w:val="none"/>
          <w:lang w:val="en-US" w:eastAsia="zh-CN"/>
        </w:rPr>
      </w:pPr>
    </w:p>
    <w:p w14:paraId="4600607D">
      <w:pPr>
        <w:rPr>
          <w:rFonts w:hint="eastAsia"/>
          <w:color w:val="auto"/>
          <w:highlight w:val="none"/>
          <w:lang w:val="en-US" w:eastAsia="zh-CN"/>
        </w:rPr>
      </w:pPr>
    </w:p>
    <w:p w14:paraId="5E928BF9">
      <w:pPr>
        <w:pStyle w:val="10"/>
        <w:rPr>
          <w:rFonts w:hint="eastAsia"/>
          <w:lang w:val="en-US" w:eastAsia="zh-CN"/>
        </w:rPr>
      </w:pPr>
    </w:p>
    <w:p w14:paraId="75E3BD8E">
      <w:pPr>
        <w:pStyle w:val="2"/>
        <w:rPr>
          <w:rFonts w:hint="eastAsia"/>
          <w:color w:val="auto"/>
          <w:highlight w:val="none"/>
          <w:lang w:val="en-US" w:eastAsia="zh-CN"/>
        </w:rPr>
      </w:pPr>
    </w:p>
    <w:p w14:paraId="267AFBF9">
      <w:pPr>
        <w:rPr>
          <w:rFonts w:hint="eastAsia"/>
          <w:color w:val="auto"/>
          <w:highlight w:val="none"/>
          <w:lang w:val="en-US" w:eastAsia="zh-CN"/>
        </w:rPr>
      </w:pPr>
    </w:p>
    <w:p w14:paraId="7C22CD92">
      <w:pPr>
        <w:pStyle w:val="2"/>
        <w:rPr>
          <w:rFonts w:hint="eastAsia"/>
          <w:color w:val="auto"/>
          <w:highlight w:val="none"/>
          <w:lang w:val="en-US" w:eastAsia="zh-CN"/>
        </w:rPr>
      </w:pPr>
    </w:p>
    <w:p w14:paraId="1C5BA86A">
      <w:pPr>
        <w:rPr>
          <w:rFonts w:hint="eastAsia"/>
          <w:color w:val="auto"/>
          <w:highlight w:val="none"/>
          <w:lang w:val="en-US" w:eastAsia="zh-CN"/>
        </w:rPr>
      </w:pPr>
    </w:p>
    <w:p w14:paraId="78F11F96">
      <w:pPr>
        <w:pStyle w:val="2"/>
        <w:rPr>
          <w:rFonts w:hint="eastAsia"/>
          <w:color w:val="auto"/>
          <w:highlight w:val="none"/>
          <w:lang w:val="en-US" w:eastAsia="zh-CN"/>
        </w:rPr>
      </w:pPr>
    </w:p>
    <w:p w14:paraId="22E080E5">
      <w:pPr>
        <w:pStyle w:val="6"/>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14:paraId="5EF8CD35">
      <w:pPr>
        <w:pStyle w:val="7"/>
        <w:ind w:firstLine="482" w:firstLineChars="200"/>
        <w:jc w:val="left"/>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u w:val="single"/>
          <w:lang w:val="en-US" w:eastAsia="zh-CN" w:bidi="ar-SA"/>
        </w:rPr>
        <w:t>（1） 按下浮率报价（保留两位小数，如8.88%），同时填报投标报价（投标报价=最高投标限价*(1-投标下浮率)，四舍五入保留位两位小数)。当投标报价与投标下浮率计算结果不一致时，以投标下浮率为准，按上述公式修订投标报价。</w:t>
      </w:r>
    </w:p>
    <w:p w14:paraId="74A7608F">
      <w:pPr>
        <w:pStyle w:val="7"/>
        <w:ind w:firstLine="480" w:firstLineChars="200"/>
        <w:jc w:val="left"/>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2）投标人所报的下浮率不低于0%为有效报价，下浮率&gt;10%的必须附详细的成本分析报告（成本分析报告需充分说明单价和费用的组成、降低成本的合理措施及在其他工程中应用过的经验，否则视为原则性不响应招标文件要求，作否决投标处理)</w:t>
      </w:r>
    </w:p>
    <w:p w14:paraId="5C53E8F3">
      <w:pPr>
        <w:pStyle w:val="7"/>
        <w:ind w:firstLine="480" w:firstLineChars="200"/>
        <w:jc w:val="left"/>
        <w:rPr>
          <w:rFonts w:hint="default" w:ascii="宋体" w:hAnsi="宋体" w:eastAsia="宋体" w:cs="宋体"/>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 xml:space="preserve">（3）价格分计算时，投标人评标价按（100-投标人填写的下浮数值）参与计算。如：下浮率为1.88%时，评标价按（100-1.88）参与计算。   </w:t>
      </w:r>
      <w:r>
        <w:rPr>
          <w:rFonts w:hint="eastAsia" w:ascii="宋体" w:hAnsi="宋体" w:eastAsia="宋体" w:cs="宋体"/>
          <w:color w:val="auto"/>
          <w:kern w:val="2"/>
          <w:sz w:val="24"/>
          <w:szCs w:val="24"/>
          <w:highlight w:val="none"/>
          <w:u w:val="single"/>
          <w:lang w:val="en-US" w:eastAsia="zh-CN" w:bidi="ar-SA"/>
        </w:rPr>
        <w:t xml:space="preserve">    </w:t>
      </w:r>
    </w:p>
    <w:p w14:paraId="7E00BEBA">
      <w:pPr>
        <w:rPr>
          <w:rFonts w:hint="eastAsia"/>
          <w:color w:val="auto"/>
          <w:highlight w:val="none"/>
          <w:lang w:val="en-US" w:eastAsia="zh-CN"/>
        </w:rPr>
      </w:pPr>
    </w:p>
    <w:p w14:paraId="5E52E291">
      <w:pPr>
        <w:pStyle w:val="3"/>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14:paraId="1FAB2943">
      <w:pPr>
        <w:pStyle w:val="7"/>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u w:val="single"/>
          <w:lang w:val="en-US" w:eastAsia="zh-CN" w:bidi="ar-SA"/>
        </w:rPr>
        <w:t>按中标结果及合同结算条款进行结算。</w:t>
      </w:r>
      <w:r>
        <w:rPr>
          <w:rFonts w:hint="eastAsia" w:ascii="宋体" w:hAnsi="宋体" w:eastAsia="宋体" w:cs="宋体"/>
          <w:color w:val="auto"/>
          <w:kern w:val="2"/>
          <w:sz w:val="24"/>
          <w:szCs w:val="24"/>
          <w:highlight w:val="none"/>
          <w:u w:val="single"/>
          <w:lang w:val="en-US" w:eastAsia="zh-CN" w:bidi="ar-SA"/>
        </w:rPr>
        <w:t xml:space="preserve">    </w:t>
      </w:r>
    </w:p>
    <w:p w14:paraId="2BAFBA28">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14:paraId="490E3DB5">
      <w:pPr>
        <w:pStyle w:val="10"/>
        <w:numPr>
          <w:ilvl w:val="0"/>
          <w:numId w:val="0"/>
        </w:numPr>
        <w:rPr>
          <w:rFonts w:hint="eastAsia"/>
          <w:color w:val="auto"/>
          <w:sz w:val="24"/>
          <w:szCs w:val="24"/>
          <w:highlight w:val="none"/>
          <w:lang w:eastAsia="zh-CN"/>
        </w:rPr>
      </w:pPr>
      <w:r>
        <w:rPr>
          <w:rFonts w:hint="default" w:ascii="Wingdings" w:hAnsi="Wingdings" w:cs="Wingdings"/>
          <w:color w:val="auto"/>
          <w:sz w:val="24"/>
          <w:szCs w:val="24"/>
          <w:highlight w:val="none"/>
        </w:rPr>
        <w:sym w:font="Wingdings" w:char="00FE"/>
      </w:r>
      <w:r>
        <w:rPr>
          <w:rFonts w:hint="eastAsia"/>
          <w:color w:val="auto"/>
          <w:sz w:val="24"/>
          <w:szCs w:val="24"/>
          <w:highlight w:val="none"/>
          <w:lang w:eastAsia="zh-CN"/>
        </w:rPr>
        <w:t>不允许分包</w:t>
      </w:r>
    </w:p>
    <w:p w14:paraId="1772DED2">
      <w:pPr>
        <w:pStyle w:val="10"/>
        <w:numPr>
          <w:ilvl w:val="0"/>
          <w:numId w:val="0"/>
        </w:numPr>
        <w:rPr>
          <w:rFonts w:hint="eastAsia"/>
          <w:color w:val="auto"/>
          <w:sz w:val="24"/>
          <w:szCs w:val="24"/>
          <w:highlight w:val="none"/>
          <w:lang w:eastAsia="zh-CN"/>
        </w:rPr>
      </w:pPr>
      <w:r>
        <w:rPr>
          <w:rFonts w:hint="default" w:ascii="Wingdings" w:hAnsi="Wingdings" w:cs="Wingdings"/>
          <w:color w:val="auto"/>
          <w:sz w:val="24"/>
          <w:szCs w:val="24"/>
          <w:highlight w:val="none"/>
          <w:lang w:eastAsia="zh-CN"/>
        </w:rPr>
        <w:sym w:font="Wingdings" w:char="00A8"/>
      </w:r>
      <w:r>
        <w:rPr>
          <w:rFonts w:hint="eastAsia"/>
          <w:color w:val="auto"/>
          <w:sz w:val="24"/>
          <w:szCs w:val="24"/>
          <w:highlight w:val="none"/>
          <w:lang w:eastAsia="zh-CN"/>
        </w:rPr>
        <w:t>允许分包，但必须符合以下要求：</w:t>
      </w:r>
    </w:p>
    <w:p w14:paraId="28DB885B">
      <w:pPr>
        <w:pStyle w:val="7"/>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                                     </w:t>
      </w:r>
    </w:p>
    <w:p w14:paraId="3815B2F5">
      <w:pPr>
        <w:rPr>
          <w:rFonts w:hint="eastAsia" w:ascii="宋体" w:hAnsi="宋体" w:eastAsia="宋体" w:cs="宋体"/>
          <w:color w:val="auto"/>
          <w:kern w:val="2"/>
          <w:sz w:val="24"/>
          <w:szCs w:val="24"/>
          <w:highlight w:val="none"/>
          <w:u w:val="single"/>
          <w:lang w:val="en-US" w:eastAsia="zh-CN" w:bidi="ar-SA"/>
        </w:rPr>
      </w:pPr>
    </w:p>
    <w:p w14:paraId="0C1A58AB">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14:paraId="0515EBC2">
      <w:pPr>
        <w:pStyle w:val="9"/>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607CAD3C">
      <w:pPr>
        <w:pStyle w:val="3"/>
        <w:spacing w:before="0" w:after="0" w:line="240" w:lineRule="auto"/>
        <w:rPr>
          <w:rFonts w:hint="eastAsia" w:asciiTheme="minorEastAsia" w:hAnsiTheme="minorEastAsia" w:eastAsiaTheme="minorEastAsia" w:cstheme="minorEastAsia"/>
          <w:i w:val="0"/>
          <w:iCs/>
          <w:color w:val="auto"/>
          <w:sz w:val="24"/>
          <w:szCs w:val="24"/>
          <w:highlight w:val="none"/>
        </w:rPr>
      </w:pPr>
      <w:bookmarkStart w:id="1"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1"/>
    </w:p>
    <w:p w14:paraId="33C1ED5E">
      <w:pPr>
        <w:pStyle w:val="9"/>
        <w:rPr>
          <w:rFonts w:hint="eastAsia" w:asciiTheme="minorEastAsia" w:hAnsiTheme="minorEastAsia" w:eastAsiaTheme="minorEastAsia" w:cstheme="minorEastAsia"/>
          <w:i w:val="0"/>
          <w:iCs/>
          <w:color w:val="auto"/>
          <w:sz w:val="24"/>
          <w:szCs w:val="24"/>
          <w:highlight w:val="none"/>
        </w:rPr>
      </w:pPr>
    </w:p>
    <w:p w14:paraId="128F0E11">
      <w:pPr>
        <w:pStyle w:val="3"/>
        <w:spacing w:before="0" w:after="0" w:line="240" w:lineRule="auto"/>
        <w:rPr>
          <w:rFonts w:hint="eastAsia" w:asciiTheme="minorEastAsia" w:hAnsiTheme="minorEastAsia" w:eastAsiaTheme="minorEastAsia" w:cstheme="minorEastAsia"/>
          <w:i w:val="0"/>
          <w:iCs/>
          <w:color w:val="auto"/>
          <w:sz w:val="24"/>
          <w:szCs w:val="24"/>
          <w:highlight w:val="none"/>
        </w:rPr>
      </w:pPr>
      <w:bookmarkStart w:id="2"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2"/>
    </w:p>
    <w:p w14:paraId="4B59967F">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textAlignment w:val="auto"/>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（一）满足中国南方电网有限责任公司《监理项目部工作手册》、中国南方电网有限责任公司基建管理制度、建设单位的质量、环境和职业健康安全管理体系文件、其他有关制度和规定。</w:t>
      </w:r>
    </w:p>
    <w:p w14:paraId="3F157B67">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textAlignment w:val="auto"/>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（二）符合图纸及技术文件的要求。</w:t>
      </w:r>
    </w:p>
    <w:p w14:paraId="3FEB3B16">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textAlignment w:val="auto"/>
        <w:rPr>
          <w:rFonts w:hint="eastAsia" w:asciiTheme="minorEastAsia" w:hAnsiTheme="minorEastAsia" w:eastAsiaTheme="minorEastAsia" w:cstheme="minorEastAsia"/>
          <w:i w:val="0"/>
          <w:iCs/>
          <w:color w:val="auto"/>
          <w:kern w:val="0"/>
          <w:sz w:val="24"/>
          <w:szCs w:val="24"/>
          <w:highlight w:val="none"/>
          <w:lang w:val="en-US" w:eastAsia="zh-CN"/>
        </w:rPr>
      </w:pPr>
      <w:r>
        <w:rPr>
          <w:rFonts w:hint="eastAsia" w:asciiTheme="minorEastAsia" w:hAnsiTheme="minorEastAsia" w:eastAsiaTheme="minorEastAsia" w:cstheme="minorEastAsia"/>
          <w:i w:val="0"/>
          <w:iCs/>
          <w:color w:val="auto"/>
          <w:kern w:val="0"/>
          <w:sz w:val="24"/>
          <w:szCs w:val="24"/>
          <w:highlight w:val="none"/>
          <w:lang w:val="en-US" w:eastAsia="zh-CN"/>
        </w:rPr>
        <w:t>（三）严格执行以下管理要求：</w:t>
      </w:r>
    </w:p>
    <w:p w14:paraId="5260EE4D">
      <w:pPr>
        <w:pStyle w:val="9"/>
        <w:keepNext w:val="0"/>
        <w:keepLines w:val="0"/>
        <w:pageBreakBefore w:val="0"/>
        <w:widowControl w:val="0"/>
        <w:numPr>
          <w:ilvl w:val="0"/>
          <w:numId w:val="0"/>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14:paraId="492FDC6C">
      <w:pPr>
        <w:pStyle w:val="9"/>
        <w:keepNext w:val="0"/>
        <w:keepLines w:val="0"/>
        <w:pageBreakBefore w:val="0"/>
        <w:widowControl w:val="0"/>
        <w:numPr>
          <w:ilvl w:val="0"/>
          <w:numId w:val="3"/>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14:paraId="5A022F1B">
      <w:pPr>
        <w:pStyle w:val="9"/>
        <w:keepNext w:val="0"/>
        <w:keepLines w:val="0"/>
        <w:pageBreakBefore w:val="0"/>
        <w:widowControl w:val="0"/>
        <w:numPr>
          <w:ilvl w:val="0"/>
          <w:numId w:val="3"/>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14:paraId="3023FD7F">
      <w:pPr>
        <w:pStyle w:val="9"/>
        <w:keepNext w:val="0"/>
        <w:keepLines w:val="0"/>
        <w:pageBreakBefore w:val="0"/>
        <w:widowControl w:val="0"/>
        <w:numPr>
          <w:ilvl w:val="0"/>
          <w:numId w:val="3"/>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14:paraId="7A047156">
      <w:pPr>
        <w:pStyle w:val="9"/>
        <w:keepNext w:val="0"/>
        <w:keepLines w:val="0"/>
        <w:pageBreakBefore w:val="0"/>
        <w:widowControl w:val="0"/>
        <w:numPr>
          <w:ilvl w:val="0"/>
          <w:numId w:val="3"/>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14:paraId="7DB6CF8B">
      <w:pPr>
        <w:pStyle w:val="9"/>
        <w:keepNext w:val="0"/>
        <w:keepLines w:val="0"/>
        <w:pageBreakBefore w:val="0"/>
        <w:widowControl w:val="0"/>
        <w:numPr>
          <w:ilvl w:val="0"/>
          <w:numId w:val="3"/>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14:paraId="1503EE8F">
      <w:pPr>
        <w:pStyle w:val="9"/>
        <w:keepNext w:val="0"/>
        <w:keepLines w:val="0"/>
        <w:pageBreakBefore w:val="0"/>
        <w:widowControl w:val="0"/>
        <w:numPr>
          <w:ilvl w:val="0"/>
          <w:numId w:val="3"/>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14:paraId="090041C5">
      <w:pPr>
        <w:pStyle w:val="9"/>
        <w:keepNext w:val="0"/>
        <w:keepLines w:val="0"/>
        <w:pageBreakBefore w:val="0"/>
        <w:widowControl w:val="0"/>
        <w:numPr>
          <w:ilvl w:val="0"/>
          <w:numId w:val="3"/>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14:paraId="4BAED9DA">
      <w:pPr>
        <w:pStyle w:val="9"/>
        <w:keepNext w:val="0"/>
        <w:keepLines w:val="0"/>
        <w:pageBreakBefore w:val="0"/>
        <w:widowControl w:val="0"/>
        <w:numPr>
          <w:ilvl w:val="0"/>
          <w:numId w:val="3"/>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14:paraId="7DE38943">
      <w:pPr>
        <w:pStyle w:val="9"/>
        <w:keepNext w:val="0"/>
        <w:keepLines w:val="0"/>
        <w:pageBreakBefore w:val="0"/>
        <w:widowControl w:val="0"/>
        <w:numPr>
          <w:ilvl w:val="0"/>
          <w:numId w:val="3"/>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14:paraId="3EEB6BA3">
      <w:pPr>
        <w:pStyle w:val="3"/>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3" w:name="_Toc482188640"/>
      <w:bookmarkStart w:id="4" w:name="_Toc11396"/>
      <w:r>
        <w:rPr>
          <w:rFonts w:hint="eastAsia" w:asciiTheme="minorEastAsia" w:hAnsiTheme="minorEastAsia" w:eastAsiaTheme="minorEastAsia" w:cstheme="minorEastAsia"/>
          <w:i w:val="0"/>
          <w:iCs/>
          <w:color w:val="auto"/>
          <w:sz w:val="24"/>
          <w:szCs w:val="24"/>
          <w:highlight w:val="none"/>
          <w:lang w:eastAsia="zh-CN"/>
        </w:rPr>
        <w:t>三、</w:t>
      </w:r>
      <w:bookmarkEnd w:id="3"/>
      <w:r>
        <w:rPr>
          <w:rFonts w:hint="eastAsia" w:asciiTheme="minorEastAsia" w:hAnsiTheme="minorEastAsia" w:eastAsiaTheme="minorEastAsia" w:cstheme="minorEastAsia"/>
          <w:i w:val="0"/>
          <w:iCs/>
          <w:color w:val="auto"/>
          <w:sz w:val="24"/>
          <w:szCs w:val="24"/>
          <w:highlight w:val="none"/>
          <w:lang w:eastAsia="zh-CN"/>
        </w:rPr>
        <w:t>图纸</w:t>
      </w:r>
      <w:bookmarkEnd w:id="4"/>
    </w:p>
    <w:p w14:paraId="66B6887E">
      <w:pPr>
        <w:spacing w:line="360" w:lineRule="auto"/>
        <w:ind w:firstLine="480" w:firstLineChars="200"/>
        <w:rPr>
          <w:rFonts w:hint="eastAsia"/>
          <w:color w:val="auto"/>
          <w:sz w:val="24"/>
          <w:szCs w:val="24"/>
          <w:highlight w:val="none"/>
        </w:rPr>
      </w:pPr>
      <w:bookmarkStart w:id="5" w:name="_Toc482188644"/>
      <w:r>
        <w:rPr>
          <w:rFonts w:hint="eastAsia"/>
          <w:color w:val="auto"/>
          <w:sz w:val="24"/>
          <w:szCs w:val="24"/>
          <w:highlight w:val="none"/>
          <w:lang w:val="en-US" w:eastAsia="zh-CN"/>
        </w:rPr>
        <w:t>无</w:t>
      </w:r>
      <w:r>
        <w:rPr>
          <w:rFonts w:hint="eastAsia"/>
          <w:color w:val="auto"/>
          <w:sz w:val="24"/>
          <w:szCs w:val="24"/>
          <w:highlight w:val="none"/>
        </w:rPr>
        <w:t>。</w:t>
      </w:r>
    </w:p>
    <w:p w14:paraId="047489E1">
      <w:pPr>
        <w:pStyle w:val="3"/>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6" w:name="_Toc30760"/>
      <w:r>
        <w:rPr>
          <w:rFonts w:hint="eastAsia" w:asciiTheme="minorEastAsia" w:hAnsiTheme="minorEastAsia" w:eastAsiaTheme="minorEastAsia" w:cstheme="minorEastAsia"/>
          <w:i w:val="0"/>
          <w:iCs/>
          <w:color w:val="auto"/>
          <w:sz w:val="24"/>
          <w:szCs w:val="24"/>
          <w:highlight w:val="none"/>
          <w:lang w:eastAsia="zh-CN"/>
        </w:rPr>
        <w:t>四、</w:t>
      </w:r>
      <w:bookmarkEnd w:id="5"/>
      <w:bookmarkStart w:id="7" w:name="_Toc482188646"/>
      <w:r>
        <w:rPr>
          <w:rFonts w:hint="eastAsia" w:asciiTheme="minorEastAsia" w:hAnsiTheme="minorEastAsia" w:eastAsiaTheme="minorEastAsia" w:cstheme="minorEastAsia"/>
          <w:i w:val="0"/>
          <w:iCs/>
          <w:color w:val="auto"/>
          <w:sz w:val="24"/>
          <w:szCs w:val="24"/>
          <w:highlight w:val="none"/>
          <w:lang w:eastAsia="zh-CN"/>
        </w:rPr>
        <w:t>其他要求</w:t>
      </w:r>
      <w:bookmarkEnd w:id="6"/>
      <w:bookmarkEnd w:id="7"/>
    </w:p>
    <w:p w14:paraId="50F6C98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招标</w:t>
      </w:r>
      <w:r>
        <w:rPr>
          <w:rFonts w:hint="eastAsia" w:asciiTheme="minorEastAsia" w:hAnsiTheme="minorEastAsia" w:eastAsiaTheme="minorEastAsia" w:cstheme="minorEastAsia"/>
          <w:color w:val="auto"/>
          <w:sz w:val="24"/>
          <w:szCs w:val="24"/>
          <w:highlight w:val="none"/>
        </w:rPr>
        <w:t>人根据委托的监理范围和内容，随招标文件向投标人提供与监理范围和内容有关的以下文件、资料：</w:t>
      </w:r>
    </w:p>
    <w:p w14:paraId="39FE601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（1）工程前期有关文件（可研审批文件）；</w:t>
      </w:r>
    </w:p>
    <w:p w14:paraId="23364E38">
      <w:pPr>
        <w:pStyle w:val="9"/>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abstractNum w:abstractNumId="2">
    <w:nsid w:val="4122DDE1"/>
    <w:multiLevelType w:val="singleLevel"/>
    <w:tmpl w:val="4122DDE1"/>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270A5"/>
    <w:rsid w:val="007A4AD7"/>
    <w:rsid w:val="034C42F7"/>
    <w:rsid w:val="03F1316B"/>
    <w:rsid w:val="04A24F71"/>
    <w:rsid w:val="076F3B3B"/>
    <w:rsid w:val="07CA37DF"/>
    <w:rsid w:val="07CC3833"/>
    <w:rsid w:val="0BC07002"/>
    <w:rsid w:val="0BD30473"/>
    <w:rsid w:val="0CDE4FD8"/>
    <w:rsid w:val="0E2F4C02"/>
    <w:rsid w:val="0E3616E0"/>
    <w:rsid w:val="0E937FF7"/>
    <w:rsid w:val="0F81532F"/>
    <w:rsid w:val="107144D2"/>
    <w:rsid w:val="116419AD"/>
    <w:rsid w:val="11794537"/>
    <w:rsid w:val="11DF6CFE"/>
    <w:rsid w:val="13383335"/>
    <w:rsid w:val="14440D4B"/>
    <w:rsid w:val="14B666F3"/>
    <w:rsid w:val="15056A61"/>
    <w:rsid w:val="182633AB"/>
    <w:rsid w:val="18E57496"/>
    <w:rsid w:val="1A2D5CFF"/>
    <w:rsid w:val="1A386933"/>
    <w:rsid w:val="1A4F176B"/>
    <w:rsid w:val="1A912F72"/>
    <w:rsid w:val="1B663F82"/>
    <w:rsid w:val="1C2D4629"/>
    <w:rsid w:val="1C43636C"/>
    <w:rsid w:val="1D904223"/>
    <w:rsid w:val="1F653C49"/>
    <w:rsid w:val="1F6C0D31"/>
    <w:rsid w:val="1FF914D4"/>
    <w:rsid w:val="20735046"/>
    <w:rsid w:val="20DB5B5E"/>
    <w:rsid w:val="216F4D5B"/>
    <w:rsid w:val="23B738BA"/>
    <w:rsid w:val="24E67795"/>
    <w:rsid w:val="24F737D8"/>
    <w:rsid w:val="25100685"/>
    <w:rsid w:val="26A73075"/>
    <w:rsid w:val="27491FF3"/>
    <w:rsid w:val="2CA17C08"/>
    <w:rsid w:val="2DDF66E3"/>
    <w:rsid w:val="2FF65FF8"/>
    <w:rsid w:val="300D195C"/>
    <w:rsid w:val="30BF37B5"/>
    <w:rsid w:val="31C955A9"/>
    <w:rsid w:val="33B200AF"/>
    <w:rsid w:val="33E61BE2"/>
    <w:rsid w:val="361736AD"/>
    <w:rsid w:val="36D200CF"/>
    <w:rsid w:val="379951F8"/>
    <w:rsid w:val="38382DC3"/>
    <w:rsid w:val="38DE045C"/>
    <w:rsid w:val="3A546240"/>
    <w:rsid w:val="3BF24D81"/>
    <w:rsid w:val="3BFE7BEA"/>
    <w:rsid w:val="3C4750A3"/>
    <w:rsid w:val="3C4A35F1"/>
    <w:rsid w:val="3E664B6D"/>
    <w:rsid w:val="3ED7087B"/>
    <w:rsid w:val="3F141BFC"/>
    <w:rsid w:val="3F5B06C0"/>
    <w:rsid w:val="435477D7"/>
    <w:rsid w:val="444D481C"/>
    <w:rsid w:val="44982260"/>
    <w:rsid w:val="44D414C9"/>
    <w:rsid w:val="455241CA"/>
    <w:rsid w:val="46472D5E"/>
    <w:rsid w:val="496A657E"/>
    <w:rsid w:val="49843C09"/>
    <w:rsid w:val="4B3A1BDA"/>
    <w:rsid w:val="4BC66CF0"/>
    <w:rsid w:val="4BF83760"/>
    <w:rsid w:val="4C8349B8"/>
    <w:rsid w:val="520D6E5F"/>
    <w:rsid w:val="53115540"/>
    <w:rsid w:val="55C3156A"/>
    <w:rsid w:val="5782183A"/>
    <w:rsid w:val="57BD355E"/>
    <w:rsid w:val="57EA3568"/>
    <w:rsid w:val="59A5419F"/>
    <w:rsid w:val="5B0320E2"/>
    <w:rsid w:val="5B8B11A7"/>
    <w:rsid w:val="5B9E2EC4"/>
    <w:rsid w:val="5BC20CDF"/>
    <w:rsid w:val="5DA51323"/>
    <w:rsid w:val="608606DE"/>
    <w:rsid w:val="610E324A"/>
    <w:rsid w:val="61F31EFD"/>
    <w:rsid w:val="63066BC7"/>
    <w:rsid w:val="63D0487B"/>
    <w:rsid w:val="64672037"/>
    <w:rsid w:val="64911DA0"/>
    <w:rsid w:val="65945D8D"/>
    <w:rsid w:val="66C35559"/>
    <w:rsid w:val="67797872"/>
    <w:rsid w:val="67D57489"/>
    <w:rsid w:val="68570F93"/>
    <w:rsid w:val="69096A63"/>
    <w:rsid w:val="6A287B5E"/>
    <w:rsid w:val="6B303A1A"/>
    <w:rsid w:val="6DAA2FDF"/>
    <w:rsid w:val="6E121228"/>
    <w:rsid w:val="6E614D6E"/>
    <w:rsid w:val="6FC971BF"/>
    <w:rsid w:val="70D1495F"/>
    <w:rsid w:val="70ED510D"/>
    <w:rsid w:val="74695E39"/>
    <w:rsid w:val="74E90D64"/>
    <w:rsid w:val="754C6F3B"/>
    <w:rsid w:val="75B11AFF"/>
    <w:rsid w:val="75D32619"/>
    <w:rsid w:val="765369C1"/>
    <w:rsid w:val="767D6887"/>
    <w:rsid w:val="780B6A75"/>
    <w:rsid w:val="782C3C84"/>
    <w:rsid w:val="79F83E18"/>
    <w:rsid w:val="7A262145"/>
    <w:rsid w:val="7BEC3F2B"/>
    <w:rsid w:val="7D0F76D8"/>
    <w:rsid w:val="7E3420E0"/>
    <w:rsid w:val="7E535DCD"/>
    <w:rsid w:val="7E9A7173"/>
    <w:rsid w:val="7F7B4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2">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3">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cs="Times New Roman"/>
      <w:kern w:val="0"/>
      <w:sz w:val="20"/>
      <w:szCs w:val="20"/>
    </w:rPr>
  </w:style>
  <w:style w:type="paragraph" w:styleId="5">
    <w:name w:val="annotation text"/>
    <w:basedOn w:val="1"/>
    <w:qFormat/>
    <w:uiPriority w:val="0"/>
    <w:pPr>
      <w:jc w:val="left"/>
    </w:pPr>
  </w:style>
  <w:style w:type="paragraph" w:styleId="6">
    <w:name w:val="Body Text"/>
    <w:basedOn w:val="1"/>
    <w:next w:val="7"/>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7">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8">
    <w:name w:val="Body Text Indent"/>
    <w:basedOn w:val="1"/>
    <w:qFormat/>
    <w:uiPriority w:val="0"/>
    <w:pPr>
      <w:spacing w:after="120"/>
      <w:ind w:left="420" w:leftChars="200"/>
    </w:pPr>
  </w:style>
  <w:style w:type="paragraph" w:styleId="9">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Body Text First Indent"/>
    <w:basedOn w:val="6"/>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1764</Words>
  <Characters>1956</Characters>
  <Lines>0</Lines>
  <Paragraphs>0</Paragraphs>
  <TotalTime>196</TotalTime>
  <ScaleCrop>false</ScaleCrop>
  <LinksUpToDate>false</LinksUpToDate>
  <CharactersWithSpaces>2072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dcterms:modified xsi:type="dcterms:W3CDTF">2025-10-28T07:15:02Z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5225DD0C49B4481193DD5DF7E8A3052A_13</vt:lpwstr>
  </property>
  <property fmtid="{D5CDD505-2E9C-101B-9397-08002B2CF9AE}" pid="4" name="KSOTemplateDocerSaveRecord">
    <vt:lpwstr>eyJoZGlkIjoiNGQxZGUyZmQ5MDU5MjhiNzUxNWY4N2Q0ZGU2Y2VhOTgiLCJ1c2VySWQiOiI3MDM5OTYzMzMifQ==</vt:lpwstr>
  </property>
</Properties>
</file>