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E5FBF">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32"/>
          <w:szCs w:val="32"/>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110千伏汇景站扩建第三台主变工程监理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w:t>
      </w:r>
    </w:p>
    <w:bookmarkEnd w:id="0"/>
    <w:p w14:paraId="426D5AA1">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p>
    <w:p w14:paraId="2C36C21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highlight w:val="none"/>
          <w:u w:val="none"/>
          <w:lang w:val="en-US" w:eastAsia="zh-CN"/>
        </w:rPr>
      </w:pPr>
      <w:r>
        <w:rPr>
          <w:rFonts w:hint="eastAsia" w:hAnsi="宋体" w:cs="宋体"/>
          <w:b/>
          <w:bCs/>
          <w:snapToGrid w:val="0"/>
          <w:color w:val="auto"/>
          <w:kern w:val="0"/>
          <w:sz w:val="24"/>
          <w:szCs w:val="24"/>
          <w:highlight w:val="none"/>
          <w:u w:val="none"/>
          <w:lang w:val="en-US" w:eastAsia="zh-CN"/>
        </w:rPr>
        <w:t>招标前期资料</w:t>
      </w:r>
    </w:p>
    <w:tbl>
      <w:tblPr>
        <w:tblStyle w:val="12"/>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1DFD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exact"/>
          <w:jc w:val="center"/>
        </w:trPr>
        <w:tc>
          <w:tcPr>
            <w:tcW w:w="776" w:type="dxa"/>
            <w:noWrap w:val="0"/>
            <w:vAlign w:val="center"/>
          </w:tcPr>
          <w:p w14:paraId="036B5E2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542C49A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0DCFF09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hAnsi="宋体" w:cs="宋体"/>
                <w:b/>
                <w:bCs/>
                <w:snapToGrid w:val="0"/>
                <w:color w:val="auto"/>
                <w:kern w:val="0"/>
                <w:sz w:val="24"/>
                <w:szCs w:val="24"/>
                <w:highlight w:val="none"/>
                <w:u w:val="none"/>
                <w:vertAlign w:val="baseline"/>
                <w:lang w:val="en-US" w:eastAsia="zh-CN"/>
              </w:rPr>
              <w:t>文件文号</w:t>
            </w:r>
          </w:p>
        </w:tc>
      </w:tr>
      <w:tr w14:paraId="1DE00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E6CF38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364749F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7C74FDD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 xml:space="preserve">〕 </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56</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698DBD4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14A6D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776" w:type="dxa"/>
            <w:noWrap w:val="0"/>
            <w:vAlign w:val="center"/>
          </w:tcPr>
          <w:p w14:paraId="61F4EEF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3A8EFC7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5250" w:type="dxa"/>
            <w:noWrap w:val="0"/>
            <w:vAlign w:val="center"/>
          </w:tcPr>
          <w:p w14:paraId="5E469F6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穗发改核准〔2025〕12号</w:t>
            </w:r>
          </w:p>
        </w:tc>
      </w:tr>
      <w:tr w14:paraId="2FEE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C74263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0AC7E8C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787FDEB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41</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621AD0C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p>
        </w:tc>
      </w:tr>
      <w:tr w14:paraId="111D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A2F53D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111947D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7FED503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5014E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D0C43C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197CC27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3007A67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广州市天河区</w:t>
            </w:r>
          </w:p>
        </w:tc>
      </w:tr>
      <w:tr w14:paraId="38050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1891CA8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783" w:type="dxa"/>
            <w:noWrap w:val="0"/>
            <w:vAlign w:val="center"/>
          </w:tcPr>
          <w:p w14:paraId="640C56E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0628A8C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广州电力设计院有限公司</w:t>
            </w:r>
          </w:p>
        </w:tc>
      </w:tr>
      <w:tr w14:paraId="1B44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jc w:val="center"/>
        </w:trPr>
        <w:tc>
          <w:tcPr>
            <w:tcW w:w="776" w:type="dxa"/>
            <w:noWrap w:val="0"/>
            <w:vAlign w:val="center"/>
          </w:tcPr>
          <w:p w14:paraId="362B27D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04721C4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工期/服务期</w:t>
            </w:r>
          </w:p>
        </w:tc>
        <w:tc>
          <w:tcPr>
            <w:tcW w:w="5250" w:type="dxa"/>
            <w:noWrap w:val="0"/>
            <w:vAlign w:val="center"/>
          </w:tcPr>
          <w:p w14:paraId="3522CED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合同签订之日起360日历天，实际工期以开工报告、竣工报告为准。</w:t>
            </w:r>
          </w:p>
        </w:tc>
      </w:tr>
    </w:tbl>
    <w:p w14:paraId="249F1E60">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7E6F38CB">
      <w:pPr>
        <w:keepNext w:val="0"/>
        <w:keepLines w:val="0"/>
        <w:pageBreakBefore w:val="0"/>
        <w:widowControl w:val="0"/>
        <w:kinsoku/>
        <w:wordWrap/>
        <w:overflowPunct/>
        <w:topLinePunct w:val="0"/>
        <w:autoSpaceDE/>
        <w:autoSpaceDN/>
        <w:bidi w:val="0"/>
        <w:spacing w:line="36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58BF2C1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left="0" w:leftChars="0" w:firstLine="482" w:firstLineChars="200"/>
        <w:jc w:val="both"/>
        <w:textAlignment w:val="auto"/>
        <w:rPr>
          <w:rFonts w:hint="eastAsia" w:asciiTheme="minorEastAsia" w:hAnsiTheme="minorEastAsia" w:eastAsiaTheme="minorEastAsia" w:cstheme="minorEastAsia"/>
          <w:b/>
          <w:b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bCs w:val="0"/>
          <w:color w:val="000000" w:themeColor="text1"/>
          <w:sz w:val="24"/>
          <w:szCs w:val="24"/>
          <w:highlight w:val="none"/>
          <w14:textFill>
            <w14:solidFill>
              <w14:schemeClr w14:val="tx1"/>
            </w14:solidFill>
          </w14:textFill>
        </w:rPr>
        <w:t>※变电工程</w:t>
      </w:r>
    </w:p>
    <w:p w14:paraId="1435F42C">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1.110千伏汇景站：本期建设63MVA主变压器</w:t>
      </w:r>
      <w:r>
        <w:rPr>
          <w:rFonts w:hint="eastAsia" w:hAnsi="宋体"/>
          <w:color w:val="auto"/>
          <w:szCs w:val="21"/>
          <w:highlight w:val="none"/>
          <w:u w:val="single"/>
          <w:lang w:val="en-US" w:eastAsia="zh-CN"/>
        </w:rPr>
        <w:t>1</w:t>
      </w:r>
      <w:r>
        <w:rPr>
          <w:rFonts w:hint="eastAsia" w:hAnsi="宋体" w:eastAsia="宋体"/>
          <w:color w:val="auto"/>
          <w:szCs w:val="21"/>
          <w:highlight w:val="none"/>
          <w:u w:val="single"/>
          <w:lang w:val="en-US" w:eastAsia="zh-CN"/>
        </w:rPr>
        <w:t>台，110kV出线</w:t>
      </w:r>
      <w:r>
        <w:rPr>
          <w:rFonts w:hint="eastAsia" w:hAnsi="宋体"/>
          <w:color w:val="auto"/>
          <w:szCs w:val="21"/>
          <w:highlight w:val="none"/>
          <w:u w:val="single"/>
          <w:lang w:val="en-US" w:eastAsia="zh-CN"/>
        </w:rPr>
        <w:t>1</w:t>
      </w:r>
      <w:r>
        <w:rPr>
          <w:rFonts w:hint="eastAsia" w:hAnsi="宋体" w:eastAsia="宋体"/>
          <w:color w:val="auto"/>
          <w:szCs w:val="21"/>
          <w:highlight w:val="none"/>
          <w:u w:val="single"/>
          <w:lang w:val="en-US" w:eastAsia="zh-CN"/>
        </w:rPr>
        <w:t>回，每台主变10kV侧装设2组6012kVar并联电容器组。各系统主站和计量主站需相应进行扩容。拆除并新建</w:t>
      </w:r>
      <w:r>
        <w:rPr>
          <w:rFonts w:hint="eastAsia" w:hAnsi="宋体"/>
          <w:color w:val="auto"/>
          <w:szCs w:val="21"/>
          <w:highlight w:val="none"/>
          <w:u w:val="single"/>
          <w:lang w:val="en-US" w:eastAsia="zh-CN"/>
        </w:rPr>
        <w:t>1台</w:t>
      </w:r>
      <w:r>
        <w:rPr>
          <w:rFonts w:hint="eastAsia" w:hAnsi="宋体" w:eastAsia="宋体"/>
          <w:color w:val="auto"/>
          <w:szCs w:val="21"/>
          <w:highlight w:val="none"/>
          <w:u w:val="single"/>
          <w:lang w:val="en-US" w:eastAsia="zh-CN"/>
        </w:rPr>
        <w:t xml:space="preserve">主变基础及油坑、设备支架；新建GIS室、高压室、电容器室、接地变室相关扩建设备的埋件并修复地坪；新建钢筋混凝土事故油池。   </w:t>
      </w:r>
    </w:p>
    <w:p w14:paraId="6E92386D">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2.对侧</w:t>
      </w:r>
      <w:r>
        <w:rPr>
          <w:rFonts w:hint="eastAsia" w:hAnsi="宋体"/>
          <w:color w:val="auto"/>
          <w:szCs w:val="21"/>
          <w:highlight w:val="none"/>
          <w:u w:val="single"/>
          <w:lang w:val="en-US" w:eastAsia="zh-CN"/>
        </w:rPr>
        <w:t>11</w:t>
      </w:r>
      <w:r>
        <w:rPr>
          <w:rFonts w:hint="eastAsia" w:hAnsi="宋体" w:eastAsia="宋体"/>
          <w:color w:val="auto"/>
          <w:szCs w:val="21"/>
          <w:highlight w:val="none"/>
          <w:u w:val="single"/>
          <w:lang w:val="en-US" w:eastAsia="zh-CN"/>
        </w:rPr>
        <w:t>0千伏北棠变电站：110kV热北线间隔扩建</w:t>
      </w:r>
      <w:r>
        <w:rPr>
          <w:rFonts w:hint="eastAsia" w:hAnsi="宋体"/>
          <w:color w:val="auto"/>
          <w:szCs w:val="21"/>
          <w:highlight w:val="none"/>
          <w:u w:val="single"/>
          <w:lang w:val="en-US" w:eastAsia="zh-CN"/>
        </w:rPr>
        <w:t>1</w:t>
      </w:r>
      <w:r>
        <w:rPr>
          <w:rFonts w:hint="eastAsia" w:hAnsi="宋体" w:eastAsia="宋体"/>
          <w:color w:val="auto"/>
          <w:szCs w:val="21"/>
          <w:highlight w:val="none"/>
          <w:u w:val="single"/>
          <w:lang w:val="en-US" w:eastAsia="zh-CN"/>
        </w:rPr>
        <w:t>个电缆终端。新建</w:t>
      </w:r>
      <w:r>
        <w:rPr>
          <w:rFonts w:hint="eastAsia" w:hAnsi="宋体"/>
          <w:color w:val="auto"/>
          <w:szCs w:val="21"/>
          <w:highlight w:val="none"/>
          <w:u w:val="single"/>
          <w:lang w:val="en-US" w:eastAsia="zh-CN"/>
        </w:rPr>
        <w:t>1组</w:t>
      </w:r>
      <w:r>
        <w:rPr>
          <w:rFonts w:hint="eastAsia" w:hAnsi="宋体" w:eastAsia="宋体"/>
          <w:color w:val="auto"/>
          <w:szCs w:val="21"/>
          <w:highlight w:val="none"/>
          <w:u w:val="single"/>
          <w:lang w:val="en-US" w:eastAsia="zh-CN"/>
        </w:rPr>
        <w:t>电缆终端支架，采用钢管杆结构。</w:t>
      </w:r>
    </w:p>
    <w:p w14:paraId="75D671D3">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2" w:firstLineChars="200"/>
        <w:jc w:val="both"/>
        <w:textAlignment w:val="auto"/>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t>※线路部分</w:t>
      </w:r>
    </w:p>
    <w:p w14:paraId="4261F953">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根据本工程接入系统方案，110kV汇景站新建1回电缆线路，T接热北线，T接点在北棠站内</w:t>
      </w:r>
      <w:r>
        <w:rPr>
          <w:rFonts w:hint="eastAsia" w:hAnsi="宋体"/>
          <w:color w:val="auto"/>
          <w:szCs w:val="21"/>
          <w:highlight w:val="none"/>
          <w:u w:val="single"/>
          <w:lang w:val="en-US" w:eastAsia="zh-CN"/>
        </w:rPr>
        <w:t>。</w:t>
      </w:r>
      <w:r>
        <w:rPr>
          <w:rFonts w:hint="eastAsia" w:hAnsi="宋体" w:eastAsia="宋体"/>
          <w:color w:val="auto"/>
          <w:szCs w:val="21"/>
          <w:highlight w:val="none"/>
          <w:u w:val="single"/>
          <w:lang w:val="en-US" w:eastAsia="zh-CN"/>
        </w:rPr>
        <w:t>新建110kV电缆线路由汇景站至110kV北棠站。在北棠站内T接热北线。新建单回电缆线路路径长约1×2.674km。新建站外管廊长度约0.328km。新建站外管廊型式主要为电缆沟、埋管，穿越不允许开挖道路采用非开挖水平定向钻拉管等敷设型式</w:t>
      </w:r>
      <w:r>
        <w:rPr>
          <w:rFonts w:hint="eastAsia" w:hAnsi="宋体"/>
          <w:color w:val="auto"/>
          <w:szCs w:val="21"/>
          <w:highlight w:val="none"/>
          <w:u w:val="single"/>
          <w:lang w:val="en-US" w:eastAsia="zh-CN"/>
        </w:rPr>
        <w:t>。</w:t>
      </w:r>
    </w:p>
    <w:p w14:paraId="68539621">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2" w:firstLineChars="200"/>
        <w:jc w:val="both"/>
        <w:textAlignment w:val="auto"/>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bCs w:val="0"/>
          <w:color w:val="000000" w:themeColor="text1"/>
          <w:sz w:val="24"/>
          <w:szCs w:val="24"/>
          <w:highlight w:val="none"/>
          <w:lang w:val="en-US" w:eastAsia="zh-CN"/>
          <w14:textFill>
            <w14:solidFill>
              <w14:schemeClr w14:val="tx1"/>
            </w14:solidFill>
          </w14:textFill>
        </w:rPr>
        <w:t>※通信工程</w:t>
      </w:r>
    </w:p>
    <w:p w14:paraId="2D74E02F">
      <w:pPr>
        <w:pStyle w:val="9"/>
        <w:numPr>
          <w:ilvl w:val="0"/>
          <w:numId w:val="0"/>
        </w:numPr>
        <w:shd w:val="clear" w:color="auto" w:fill="auto"/>
        <w:spacing w:line="360" w:lineRule="auto"/>
        <w:ind w:firstLine="420" w:firstLineChars="200"/>
        <w:rPr>
          <w:rFonts w:hint="eastAsia" w:hAnsi="宋体" w:eastAsia="宋体"/>
          <w:color w:val="auto"/>
          <w:szCs w:val="21"/>
          <w:highlight w:val="none"/>
          <w:u w:val="single"/>
          <w:lang w:val="en-US" w:eastAsia="zh-CN"/>
        </w:rPr>
      </w:pPr>
      <w:r>
        <w:rPr>
          <w:rFonts w:hint="eastAsia" w:hAnsi="宋体" w:eastAsia="宋体"/>
          <w:color w:val="auto"/>
          <w:szCs w:val="21"/>
          <w:highlight w:val="none"/>
          <w:u w:val="single"/>
          <w:lang w:val="en-US" w:eastAsia="zh-CN"/>
        </w:rPr>
        <w:t>随110kV汇景至北棠</w:t>
      </w:r>
      <w:r>
        <w:rPr>
          <w:rFonts w:hint="eastAsia" w:hAnsi="宋体"/>
          <w:color w:val="auto"/>
          <w:szCs w:val="21"/>
          <w:highlight w:val="none"/>
          <w:u w:val="single"/>
          <w:lang w:val="en-US" w:eastAsia="zh-CN"/>
        </w:rPr>
        <w:t>单</w:t>
      </w:r>
      <w:r>
        <w:rPr>
          <w:rFonts w:hint="eastAsia" w:hAnsi="宋体" w:eastAsia="宋体"/>
          <w:color w:val="auto"/>
          <w:szCs w:val="21"/>
          <w:highlight w:val="none"/>
          <w:u w:val="single"/>
          <w:lang w:val="en-US" w:eastAsia="zh-CN"/>
        </w:rPr>
        <w:t>回电缆线路，敷设汇景～北棠</w:t>
      </w:r>
      <w:r>
        <w:rPr>
          <w:rFonts w:hint="eastAsia" w:hAnsi="宋体"/>
          <w:color w:val="auto"/>
          <w:szCs w:val="21"/>
          <w:highlight w:val="none"/>
          <w:u w:val="single"/>
          <w:lang w:val="en-US" w:eastAsia="zh-CN"/>
        </w:rPr>
        <w:t>1</w:t>
      </w:r>
      <w:r>
        <w:rPr>
          <w:rFonts w:hint="eastAsia" w:hAnsi="宋体" w:eastAsia="宋体"/>
          <w:color w:val="auto"/>
          <w:szCs w:val="21"/>
          <w:highlight w:val="none"/>
          <w:u w:val="single"/>
          <w:lang w:val="en-US" w:eastAsia="zh-CN"/>
        </w:rPr>
        <w:t>条48芯管道光缆，单条管道光缆长2.874km（含两侧站内长度，各150m）。</w:t>
      </w:r>
    </w:p>
    <w:p w14:paraId="3E3BCA8B">
      <w:pPr>
        <w:keepNext w:val="0"/>
        <w:keepLines w:val="0"/>
        <w:pageBreakBefore w:val="0"/>
        <w:widowControl w:val="0"/>
        <w:kinsoku/>
        <w:wordWrap/>
        <w:overflowPunct/>
        <w:topLinePunct w:val="0"/>
        <w:autoSpaceDE/>
        <w:autoSpaceDN/>
        <w:bidi w:val="0"/>
        <w:snapToGrid/>
        <w:spacing w:before="157" w:beforeLines="50" w:after="157" w:afterLines="50" w:line="360" w:lineRule="exact"/>
        <w:ind w:firstLine="482" w:firstLineChars="200"/>
        <w:textAlignment w:val="auto"/>
        <w:rPr>
          <w:rFonts w:hint="eastAsia"/>
          <w:b/>
          <w:bCs/>
          <w:color w:val="auto"/>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具体规模以施工图为准。</w:t>
      </w:r>
    </w:p>
    <w:p w14:paraId="3D24D7D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二、招标采购范围</w:t>
      </w:r>
    </w:p>
    <w:p w14:paraId="70B6EF9C">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360" w:lineRule="exact"/>
        <w:ind w:left="0" w:leftChars="0" w:firstLine="480" w:firstLineChars="200"/>
        <w:jc w:val="both"/>
        <w:textAlignment w:val="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val="0"/>
          <w:bCs/>
          <w:color w:val="auto"/>
          <w:sz w:val="24"/>
          <w:szCs w:val="24"/>
          <w:highlight w:val="none"/>
          <w:lang w:val="en-US" w:eastAsia="zh-CN"/>
        </w:rPr>
        <w:t>勘察设计、施工准备（含三通一平）、施工（含通信）、竣工结算、缺陷责任期、电子化移交的全过程监理，以及初步设计概算（或施工图预算）中监理计费范围以外但与工程相关的监理工作。按照建设单位要求使用工程信息管理系统。</w:t>
      </w:r>
    </w:p>
    <w:p w14:paraId="18E13918">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tbl>
      <w:tblPr>
        <w:tblStyle w:val="11"/>
        <w:tblW w:w="5000" w:type="pct"/>
        <w:jc w:val="center"/>
        <w:shd w:val="clear" w:color="auto" w:fill="FFFFFF" w:themeFill="background1"/>
        <w:tblLayout w:type="fixed"/>
        <w:tblCellMar>
          <w:top w:w="0" w:type="dxa"/>
          <w:left w:w="0" w:type="dxa"/>
          <w:bottom w:w="0" w:type="dxa"/>
          <w:right w:w="0" w:type="dxa"/>
        </w:tblCellMar>
      </w:tblPr>
      <w:tblGrid>
        <w:gridCol w:w="791"/>
        <w:gridCol w:w="4705"/>
        <w:gridCol w:w="1470"/>
        <w:gridCol w:w="1005"/>
        <w:gridCol w:w="1207"/>
        <w:gridCol w:w="784"/>
      </w:tblGrid>
      <w:tr w14:paraId="76A36109">
        <w:tblPrEx>
          <w:shd w:val="clear" w:color="auto" w:fill="FFFFFF" w:themeFill="background1"/>
          <w:tblCellMar>
            <w:top w:w="0" w:type="dxa"/>
            <w:left w:w="0" w:type="dxa"/>
            <w:bottom w:w="0" w:type="dxa"/>
            <w:right w:w="0" w:type="dxa"/>
          </w:tblCellMar>
        </w:tblPrEx>
        <w:trPr>
          <w:trHeight w:val="79" w:hRule="atLeast"/>
          <w:tblHeader/>
          <w:jc w:val="center"/>
        </w:trPr>
        <w:tc>
          <w:tcPr>
            <w:tcW w:w="9962" w:type="dxa"/>
            <w:gridSpan w:val="6"/>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6E08902">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i w:val="0"/>
                <w:color w:val="auto"/>
                <w:kern w:val="0"/>
                <w:sz w:val="21"/>
                <w:szCs w:val="21"/>
                <w:highlight w:val="none"/>
                <w:u w:val="none"/>
                <w:lang w:val="en-US" w:eastAsia="zh-CN" w:bidi="ar"/>
              </w:rPr>
              <w:t>基建监理报价表</w:t>
            </w:r>
          </w:p>
        </w:tc>
      </w:tr>
      <w:tr w14:paraId="4641E6EC">
        <w:tblPrEx>
          <w:shd w:val="clear" w:color="auto" w:fill="FFFFFF" w:themeFill="background1"/>
          <w:tblCellMar>
            <w:top w:w="0" w:type="dxa"/>
            <w:left w:w="0" w:type="dxa"/>
            <w:bottom w:w="0" w:type="dxa"/>
            <w:right w:w="0" w:type="dxa"/>
          </w:tblCellMar>
        </w:tblPrEx>
        <w:trPr>
          <w:trHeight w:val="79" w:hRule="atLeast"/>
          <w:tblHeader/>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ED94255">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序号</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31A35FA">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rPr>
              <w:t>工程或费用名称</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906A9CF">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最高投标限价（元）</w:t>
            </w:r>
          </w:p>
        </w:tc>
        <w:tc>
          <w:tcPr>
            <w:tcW w:w="10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713A13B">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lang w:val="en-US" w:eastAsia="zh-CN"/>
              </w:rPr>
            </w:pPr>
            <w:r>
              <w:rPr>
                <w:rFonts w:hint="eastAsia" w:ascii="宋体" w:hAnsi="宋体" w:eastAsia="宋体" w:cs="宋体"/>
                <w:b w:val="0"/>
                <w:bCs/>
                <w:color w:val="auto"/>
                <w:sz w:val="21"/>
                <w:szCs w:val="21"/>
                <w:highlight w:val="none"/>
                <w:u w:val="none"/>
                <w:lang w:val="en-US" w:eastAsia="zh-CN"/>
              </w:rPr>
              <w:t>投标下浮率</w:t>
            </w: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E0C144A">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投标报价（元）</w:t>
            </w: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F78CFE7">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b w:val="0"/>
                <w:bCs/>
                <w:color w:val="auto"/>
                <w:sz w:val="21"/>
                <w:szCs w:val="21"/>
                <w:highlight w:val="none"/>
                <w:u w:val="none"/>
              </w:rPr>
            </w:pPr>
            <w:r>
              <w:rPr>
                <w:rFonts w:hint="eastAsia" w:ascii="宋体" w:hAnsi="宋体" w:eastAsia="宋体" w:cs="宋体"/>
                <w:b w:val="0"/>
                <w:bCs/>
                <w:color w:val="auto"/>
                <w:sz w:val="21"/>
                <w:szCs w:val="21"/>
                <w:highlight w:val="none"/>
                <w:u w:val="none"/>
                <w:lang w:val="en-US" w:eastAsia="zh-CN"/>
              </w:rPr>
              <w:t>备注</w:t>
            </w:r>
          </w:p>
        </w:tc>
      </w:tr>
      <w:tr w14:paraId="619587E0">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825EC2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lang w:val="en-US" w:eastAsia="zh-CN"/>
              </w:rPr>
              <w:t>一</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5117B65">
            <w:pPr>
              <w:keepNext w:val="0"/>
              <w:keepLines w:val="0"/>
              <w:pageBreakBefore w:val="0"/>
              <w:widowControl/>
              <w:suppressLineNumbers w:val="0"/>
              <w:kinsoku/>
              <w:wordWrap/>
              <w:overflowPunct/>
              <w:topLinePunct w:val="0"/>
              <w:autoSpaceDE/>
              <w:autoSpaceDN/>
              <w:bidi w:val="0"/>
              <w:adjustRightInd/>
              <w:snapToGrid/>
              <w:spacing w:line="480" w:lineRule="auto"/>
              <w:jc w:val="both"/>
              <w:textAlignment w:val="center"/>
              <w:rPr>
                <w:rFonts w:hint="eastAsia" w:ascii="宋体" w:hAnsi="宋体" w:eastAsia="宋体" w:cs="宋体"/>
                <w:b/>
                <w:bCs/>
                <w:color w:val="auto"/>
                <w:sz w:val="21"/>
                <w:szCs w:val="21"/>
                <w:highlight w:val="none"/>
                <w:u w:val="none"/>
                <w:lang w:val="en-US" w:eastAsia="zh-CN"/>
              </w:rPr>
            </w:pPr>
            <w:r>
              <w:rPr>
                <w:rFonts w:hint="eastAsia"/>
                <w:b/>
                <w:bCs/>
                <w:color w:val="auto"/>
                <w:sz w:val="21"/>
                <w:szCs w:val="21"/>
                <w:lang w:val="en-US" w:eastAsia="zh-CN"/>
              </w:rPr>
              <w:t>变电工程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67035EE">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auto"/>
                <w:kern w:val="0"/>
                <w:sz w:val="21"/>
                <w:szCs w:val="21"/>
                <w:u w:val="none"/>
                <w:lang w:val="en-US" w:eastAsia="zh-CN" w:bidi="ar"/>
              </w:rPr>
              <w:t xml:space="preserve">124423.94 </w:t>
            </w:r>
          </w:p>
        </w:tc>
        <w:tc>
          <w:tcPr>
            <w:tcW w:w="1005" w:type="dxa"/>
            <w:vMerge w:val="restart"/>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69C2DD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r>
              <w:rPr>
                <w:rFonts w:hint="eastAsia" w:ascii="宋体" w:hAnsi="宋体" w:cs="宋体"/>
                <w:color w:val="auto"/>
                <w:kern w:val="0"/>
                <w:szCs w:val="21"/>
                <w:highlight w:val="none"/>
                <w:u w:val="single"/>
                <w:lang w:val="en-US" w:eastAsia="zh-CN"/>
              </w:rPr>
              <w:t xml:space="preserve">   </w:t>
            </w:r>
            <w:r>
              <w:rPr>
                <w:rFonts w:hint="eastAsia" w:ascii="宋体" w:hAnsi="宋体" w:cs="宋体"/>
                <w:color w:val="auto"/>
                <w:kern w:val="0"/>
                <w:szCs w:val="21"/>
                <w:highlight w:val="none"/>
                <w:lang w:val="en-US" w:eastAsia="zh-CN"/>
              </w:rPr>
              <w:t>%</w:t>
            </w: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757E043">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33194F9">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66B3CB06">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FF2E0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b/>
                <w:bCs/>
                <w:i w:val="0"/>
                <w:iCs w:val="0"/>
                <w:color w:val="auto"/>
                <w:kern w:val="0"/>
                <w:sz w:val="21"/>
                <w:szCs w:val="21"/>
                <w:u w:val="none"/>
                <w:lang w:val="en-US" w:eastAsia="zh-CN" w:bidi="ar"/>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F098725">
            <w:pPr>
              <w:keepNext w:val="0"/>
              <w:keepLines w:val="0"/>
              <w:widowControl/>
              <w:suppressLineNumbers w:val="0"/>
              <w:jc w:val="both"/>
              <w:textAlignment w:val="center"/>
              <w:rPr>
                <w:rFonts w:hint="eastAsia" w:ascii="宋体" w:hAnsi="宋体" w:eastAsia="宋体" w:cs="宋体"/>
                <w:color w:val="auto"/>
                <w:sz w:val="21"/>
                <w:szCs w:val="21"/>
                <w:highlight w:val="none"/>
                <w:u w:val="none"/>
              </w:rPr>
            </w:pPr>
            <w:r>
              <w:rPr>
                <w:rFonts w:hint="eastAsia" w:ascii="宋体" w:hAnsi="宋体" w:eastAsia="宋体" w:cs="宋体"/>
                <w:b w:val="0"/>
                <w:bCs w:val="0"/>
                <w:i w:val="0"/>
                <w:iCs w:val="0"/>
                <w:color w:val="auto"/>
                <w:kern w:val="0"/>
                <w:sz w:val="21"/>
                <w:szCs w:val="21"/>
                <w:u w:val="none"/>
                <w:lang w:val="en-US" w:eastAsia="zh-CN" w:bidi="ar"/>
              </w:rPr>
              <w:t>变电工程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B0265EF">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u w:val="none"/>
                <w:lang w:val="en-US" w:eastAsia="zh-CN" w:bidi="ar"/>
              </w:rPr>
              <w:t xml:space="preserve">123621.99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104D80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BE67974">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689E99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02B25727">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FC43EA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b/>
                <w:bCs/>
                <w:i w:val="0"/>
                <w:iCs w:val="0"/>
                <w:color w:val="auto"/>
                <w:kern w:val="0"/>
                <w:sz w:val="21"/>
                <w:szCs w:val="21"/>
                <w:u w:val="none"/>
                <w:lang w:val="en-US" w:eastAsia="zh-CN" w:bidi="ar"/>
              </w:rPr>
              <w:t>2</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8E0C856">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auto"/>
                <w:kern w:val="0"/>
                <w:sz w:val="21"/>
                <w:szCs w:val="21"/>
                <w:u w:val="none"/>
                <w:lang w:val="en-US" w:eastAsia="zh-CN" w:bidi="ar"/>
              </w:rPr>
              <w:t>110kV汇景站第三台主变扩建工程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C7289C3">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u w:val="none"/>
                <w:lang w:val="en-US" w:eastAsia="zh-CN" w:bidi="ar"/>
              </w:rPr>
              <w:t>801.9</w:t>
            </w:r>
            <w:r>
              <w:rPr>
                <w:rFonts w:hint="eastAsia" w:ascii="宋体" w:hAnsi="宋体" w:cs="宋体"/>
                <w:i w:val="0"/>
                <w:iCs w:val="0"/>
                <w:color w:val="auto"/>
                <w:kern w:val="0"/>
                <w:sz w:val="21"/>
                <w:szCs w:val="21"/>
                <w:u w:val="none"/>
                <w:lang w:val="en-US" w:eastAsia="zh-CN" w:bidi="ar"/>
              </w:rPr>
              <w:t>5</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8544A7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DC718C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7F49CE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6497E702">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DDEB13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i w:val="0"/>
                <w:iCs w:val="0"/>
                <w:color w:val="auto"/>
                <w:kern w:val="0"/>
                <w:sz w:val="20"/>
                <w:szCs w:val="20"/>
                <w:u w:val="none"/>
                <w:lang w:val="en-US" w:eastAsia="zh-CN" w:bidi="ar"/>
              </w:rPr>
              <w:t>二</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429262E">
            <w:pPr>
              <w:keepNext w:val="0"/>
              <w:keepLines w:val="0"/>
              <w:widowControl/>
              <w:suppressLineNumbers w:val="0"/>
              <w:jc w:val="left"/>
              <w:textAlignment w:val="center"/>
              <w:rPr>
                <w:rFonts w:hint="eastAsia" w:ascii="宋体" w:hAnsi="宋体" w:eastAsia="宋体" w:cs="宋体"/>
                <w:b/>
                <w:bCs/>
                <w:color w:val="auto"/>
                <w:sz w:val="21"/>
                <w:szCs w:val="21"/>
                <w:highlight w:val="none"/>
                <w:u w:val="none"/>
              </w:rPr>
            </w:pPr>
            <w:r>
              <w:rPr>
                <w:rFonts w:hint="eastAsia" w:ascii="宋体" w:hAnsi="宋体" w:eastAsia="宋体" w:cs="宋体"/>
                <w:b/>
                <w:bCs/>
                <w:i w:val="0"/>
                <w:iCs w:val="0"/>
                <w:color w:val="auto"/>
                <w:kern w:val="0"/>
                <w:sz w:val="21"/>
                <w:szCs w:val="21"/>
                <w:u w:val="none"/>
                <w:lang w:val="en-US" w:eastAsia="zh-CN" w:bidi="ar"/>
              </w:rPr>
              <w:t>110kV汇景站扩建第三台主变工程-对侧北棠站部分</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07D4BE1">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auto"/>
                <w:kern w:val="0"/>
                <w:sz w:val="21"/>
                <w:szCs w:val="21"/>
                <w:u w:val="none"/>
                <w:lang w:val="en-US" w:eastAsia="zh-CN" w:bidi="ar"/>
              </w:rPr>
              <w:t xml:space="preserve">96574.82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5C4F34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C3353D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6DE6DC3">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4ECA364A">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338D94E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auto"/>
                <w:kern w:val="0"/>
                <w:sz w:val="20"/>
                <w:szCs w:val="20"/>
                <w:u w:val="none"/>
                <w:lang w:val="en-US" w:eastAsia="zh-CN" w:bidi="ar"/>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1B3BF90">
            <w:pPr>
              <w:keepNext w:val="0"/>
              <w:keepLines w:val="0"/>
              <w:widowControl/>
              <w:suppressLineNumbers w:val="0"/>
              <w:jc w:val="left"/>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1"/>
                <w:szCs w:val="21"/>
                <w:u w:val="none"/>
                <w:lang w:val="en-US" w:eastAsia="zh-CN" w:bidi="ar"/>
              </w:rPr>
              <w:t>线路工程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8B04590">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u w:val="none"/>
                <w:lang w:val="en-US" w:eastAsia="zh-CN" w:bidi="ar"/>
              </w:rPr>
              <w:t xml:space="preserve">96574.82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CE4C35D">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8C1B3C3">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FF897D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2E04470D">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191B56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color w:val="auto"/>
                <w:sz w:val="21"/>
                <w:szCs w:val="21"/>
                <w:highlight w:val="none"/>
                <w:u w:val="none"/>
                <w:lang w:val="en-US" w:eastAsia="zh-CN"/>
              </w:rPr>
            </w:pPr>
            <w:r>
              <w:rPr>
                <w:rFonts w:hint="eastAsia" w:ascii="宋体" w:hAnsi="宋体" w:cs="宋体"/>
                <w:b/>
                <w:bCs/>
                <w:i w:val="0"/>
                <w:iCs w:val="0"/>
                <w:color w:val="auto"/>
                <w:kern w:val="0"/>
                <w:sz w:val="20"/>
                <w:szCs w:val="20"/>
                <w:u w:val="none"/>
                <w:lang w:val="en-US" w:eastAsia="zh-CN" w:bidi="ar"/>
              </w:rPr>
              <w:t>三</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E71BDF5">
            <w:pPr>
              <w:keepNext w:val="0"/>
              <w:keepLines w:val="0"/>
              <w:widowControl/>
              <w:suppressLineNumbers w:val="0"/>
              <w:jc w:val="left"/>
              <w:textAlignment w:val="center"/>
              <w:rPr>
                <w:rFonts w:hint="eastAsia" w:ascii="宋体" w:hAnsi="宋体" w:eastAsia="宋体" w:cs="宋体"/>
                <w:b w:val="0"/>
                <w:bCs w:val="0"/>
                <w:color w:val="auto"/>
                <w:sz w:val="21"/>
                <w:szCs w:val="21"/>
                <w:highlight w:val="none"/>
                <w:u w:val="none"/>
              </w:rPr>
            </w:pPr>
            <w:r>
              <w:rPr>
                <w:rFonts w:hint="eastAsia" w:ascii="宋体" w:hAnsi="宋体" w:eastAsia="宋体" w:cs="宋体"/>
                <w:b/>
                <w:bCs/>
                <w:i w:val="0"/>
                <w:iCs w:val="0"/>
                <w:color w:val="auto"/>
                <w:kern w:val="0"/>
                <w:sz w:val="21"/>
                <w:szCs w:val="21"/>
                <w:u w:val="none"/>
                <w:lang w:val="en-US" w:eastAsia="zh-CN" w:bidi="ar"/>
              </w:rPr>
              <w:t>110kV汇景T接热北线电缆线路</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67C1224">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bCs/>
                <w:i w:val="0"/>
                <w:iCs w:val="0"/>
                <w:color w:val="auto"/>
                <w:kern w:val="0"/>
                <w:sz w:val="21"/>
                <w:szCs w:val="21"/>
                <w:u w:val="none"/>
                <w:lang w:val="en-US" w:eastAsia="zh-CN" w:bidi="ar"/>
              </w:rPr>
              <w:t xml:space="preserve">4027.68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8E37D1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1D3051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4CF349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36505433">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EC4FF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auto"/>
                <w:kern w:val="0"/>
                <w:sz w:val="20"/>
                <w:szCs w:val="20"/>
                <w:u w:val="none"/>
                <w:lang w:val="en-US" w:eastAsia="zh-CN" w:bidi="ar"/>
              </w:rPr>
              <w:t>1</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F15679D">
            <w:pPr>
              <w:keepNext w:val="0"/>
              <w:keepLines w:val="0"/>
              <w:widowControl/>
              <w:suppressLineNumbers w:val="0"/>
              <w:jc w:val="both"/>
              <w:textAlignment w:val="center"/>
              <w:rPr>
                <w:rFonts w:hint="eastAsia" w:ascii="宋体" w:hAnsi="宋体" w:eastAsia="宋体" w:cs="宋体"/>
                <w:color w:val="auto"/>
                <w:sz w:val="21"/>
                <w:szCs w:val="21"/>
                <w:highlight w:val="none"/>
                <w:u w:val="none"/>
              </w:rPr>
            </w:pPr>
            <w:r>
              <w:rPr>
                <w:rFonts w:hint="eastAsia" w:ascii="宋体" w:hAnsi="宋体" w:eastAsia="宋体" w:cs="宋体"/>
                <w:b/>
                <w:bCs/>
                <w:i w:val="0"/>
                <w:iCs w:val="0"/>
                <w:color w:val="auto"/>
                <w:kern w:val="0"/>
                <w:sz w:val="21"/>
                <w:szCs w:val="21"/>
                <w:u w:val="none"/>
                <w:lang w:val="en-US" w:eastAsia="zh-CN" w:bidi="ar"/>
              </w:rPr>
              <w:t>配套通信工程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ABC35EC">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u w:val="none"/>
                <w:lang w:val="en-US" w:eastAsia="zh-CN" w:bidi="ar"/>
              </w:rPr>
              <w:t xml:space="preserve">1088.51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DA0D0FA">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9A9F06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EC7935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20787CB8">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122E16C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color w:val="auto"/>
                <w:sz w:val="21"/>
                <w:szCs w:val="21"/>
                <w:highlight w:val="none"/>
                <w:u w:val="none"/>
                <w:lang w:val="en-US" w:eastAsia="zh-CN"/>
              </w:rPr>
            </w:pPr>
            <w:r>
              <w:rPr>
                <w:rFonts w:hint="eastAsia" w:ascii="宋体" w:hAnsi="宋体" w:eastAsia="宋体" w:cs="宋体"/>
                <w:i w:val="0"/>
                <w:iCs w:val="0"/>
                <w:color w:val="auto"/>
                <w:kern w:val="0"/>
                <w:sz w:val="20"/>
                <w:szCs w:val="20"/>
                <w:u w:val="none"/>
                <w:lang w:val="en-US" w:eastAsia="zh-CN" w:bidi="ar"/>
              </w:rPr>
              <w:t xml:space="preserve">2 </w:t>
            </w: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77BDD792">
            <w:pPr>
              <w:keepNext w:val="0"/>
              <w:keepLines w:val="0"/>
              <w:widowControl/>
              <w:suppressLineNumbers w:val="0"/>
              <w:jc w:val="left"/>
              <w:textAlignment w:val="center"/>
              <w:rPr>
                <w:rFonts w:hint="eastAsia" w:ascii="宋体" w:hAnsi="宋体" w:eastAsia="宋体" w:cs="宋体"/>
                <w:color w:val="auto"/>
                <w:sz w:val="21"/>
                <w:szCs w:val="21"/>
                <w:highlight w:val="none"/>
                <w:u w:val="none"/>
              </w:rPr>
            </w:pPr>
            <w:r>
              <w:rPr>
                <w:rFonts w:hint="eastAsia" w:ascii="宋体" w:hAnsi="宋体" w:eastAsia="宋体" w:cs="宋体"/>
                <w:i w:val="0"/>
                <w:iCs w:val="0"/>
                <w:color w:val="auto"/>
                <w:kern w:val="0"/>
                <w:sz w:val="21"/>
                <w:szCs w:val="21"/>
                <w:u w:val="none"/>
                <w:lang w:val="en-US" w:eastAsia="zh-CN" w:bidi="ar"/>
              </w:rPr>
              <w:t>110kV汇景站扩建第三台主变工程通信配套工程</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835FAB4">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u w:val="none"/>
                <w:lang w:val="en-US" w:eastAsia="zh-CN" w:bidi="ar"/>
              </w:rPr>
              <w:t xml:space="preserve">2939.17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8A43C98">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057E1D9F">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A99298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r w14:paraId="21F6B0F9">
        <w:tblPrEx>
          <w:shd w:val="clear" w:color="auto" w:fill="FFFFFF" w:themeFill="background1"/>
          <w:tblCellMar>
            <w:top w:w="0" w:type="dxa"/>
            <w:left w:w="0" w:type="dxa"/>
            <w:bottom w:w="0" w:type="dxa"/>
            <w:right w:w="0" w:type="dxa"/>
          </w:tblCellMar>
        </w:tblPrEx>
        <w:trPr>
          <w:trHeight w:val="79" w:hRule="atLeast"/>
          <w:jc w:val="center"/>
        </w:trPr>
        <w:tc>
          <w:tcPr>
            <w:tcW w:w="791"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9A5E115">
            <w:pPr>
              <w:keepNext w:val="0"/>
              <w:keepLines w:val="0"/>
              <w:pageBreakBefore w:val="0"/>
              <w:kinsoku/>
              <w:wordWrap/>
              <w:overflowPunct/>
              <w:topLinePunct w:val="0"/>
              <w:autoSpaceDE/>
              <w:autoSpaceDN/>
              <w:bidi w:val="0"/>
              <w:adjustRightInd/>
              <w:snapToGrid/>
              <w:spacing w:line="360" w:lineRule="exact"/>
              <w:jc w:val="left"/>
              <w:rPr>
                <w:rFonts w:hint="eastAsia" w:ascii="宋体" w:hAnsi="宋体" w:eastAsia="宋体" w:cs="宋体"/>
                <w:i w:val="0"/>
                <w:iCs w:val="0"/>
                <w:color w:val="auto"/>
                <w:kern w:val="0"/>
                <w:sz w:val="21"/>
                <w:szCs w:val="21"/>
                <w:u w:val="none"/>
                <w:lang w:val="en-US" w:eastAsia="zh-CN" w:bidi="ar"/>
              </w:rPr>
            </w:pPr>
          </w:p>
        </w:tc>
        <w:tc>
          <w:tcPr>
            <w:tcW w:w="4705"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4CB1B0CB">
            <w:pPr>
              <w:keepNext w:val="0"/>
              <w:keepLines w:val="0"/>
              <w:pageBreakBefore w:val="0"/>
              <w:widowControl/>
              <w:suppressLineNumbers w:val="0"/>
              <w:kinsoku/>
              <w:wordWrap/>
              <w:overflowPunct/>
              <w:topLinePunct w:val="0"/>
              <w:autoSpaceDE/>
              <w:autoSpaceDN/>
              <w:bidi w:val="0"/>
              <w:adjustRightInd/>
              <w:snapToGrid/>
              <w:spacing w:line="480" w:lineRule="auto"/>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b/>
                <w:bCs/>
                <w:color w:val="auto"/>
                <w:sz w:val="21"/>
                <w:szCs w:val="21"/>
                <w:lang w:val="en-US" w:eastAsia="zh-CN"/>
              </w:rPr>
              <w:t>合  计</w:t>
            </w:r>
          </w:p>
        </w:tc>
        <w:tc>
          <w:tcPr>
            <w:tcW w:w="1470"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D01E47C">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 xml:space="preserve">225026.44 </w:t>
            </w:r>
          </w:p>
        </w:tc>
        <w:tc>
          <w:tcPr>
            <w:tcW w:w="1005" w:type="dxa"/>
            <w:vMerge w:val="continue"/>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5B908E16">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1207"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63BC3BDE">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c>
          <w:tcPr>
            <w:tcW w:w="784" w:type="dxa"/>
            <w:tcBorders>
              <w:top w:val="single" w:color="auto" w:sz="4" w:space="0"/>
              <w:left w:val="single" w:color="auto" w:sz="4" w:space="0"/>
              <w:bottom w:val="single" w:color="auto" w:sz="4" w:space="0"/>
              <w:right w:val="single" w:color="auto" w:sz="4" w:space="0"/>
            </w:tcBorders>
            <w:shd w:val="clear" w:color="auto" w:fill="FFFFFF" w:themeFill="background1"/>
            <w:tcMar>
              <w:top w:w="0" w:type="dxa"/>
              <w:left w:w="108" w:type="dxa"/>
              <w:bottom w:w="0" w:type="dxa"/>
              <w:right w:w="108" w:type="dxa"/>
            </w:tcMar>
            <w:vAlign w:val="center"/>
          </w:tcPr>
          <w:p w14:paraId="24F01FC5">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outlineLvl w:val="9"/>
              <w:rPr>
                <w:rFonts w:hint="eastAsia" w:ascii="宋体" w:hAnsi="宋体" w:eastAsia="宋体" w:cs="宋体"/>
                <w:color w:val="auto"/>
                <w:sz w:val="21"/>
                <w:szCs w:val="21"/>
                <w:highlight w:val="none"/>
                <w:u w:val="none"/>
              </w:rPr>
            </w:pPr>
          </w:p>
        </w:tc>
      </w:tr>
    </w:tbl>
    <w:p w14:paraId="2BA89598">
      <w:pPr>
        <w:rPr>
          <w:rFonts w:hint="eastAsia"/>
          <w:color w:val="auto"/>
          <w:highlight w:val="none"/>
          <w:lang w:val="en-US" w:eastAsia="zh-CN"/>
        </w:rPr>
      </w:pPr>
    </w:p>
    <w:p w14:paraId="787370CE">
      <w:pPr>
        <w:pStyle w:val="7"/>
        <w:ind w:firstLine="240" w:firstLineChars="100"/>
        <w:rPr>
          <w:rFonts w:hint="eastAsia" w:ascii="宋体" w:hAnsi="宋体" w:eastAsia="宋体" w:cs="宋体"/>
          <w:color w:val="auto"/>
          <w:kern w:val="2"/>
          <w:sz w:val="24"/>
          <w:szCs w:val="24"/>
          <w:highlight w:val="none"/>
          <w:u w:val="none"/>
          <w:lang w:val="en-US" w:eastAsia="zh-CN" w:bidi="ar-SA"/>
        </w:rPr>
      </w:pPr>
      <w:r>
        <w:rPr>
          <w:rFonts w:hint="eastAsia" w:ascii="宋体" w:hAnsi="宋体" w:eastAsia="宋体" w:cs="宋体"/>
          <w:color w:val="auto"/>
          <w:kern w:val="2"/>
          <w:sz w:val="24"/>
          <w:szCs w:val="24"/>
          <w:highlight w:val="none"/>
          <w:u w:val="none"/>
          <w:lang w:val="en-US" w:eastAsia="zh-CN" w:bidi="ar-SA"/>
        </w:rPr>
        <w:t>报价要求：</w:t>
      </w:r>
    </w:p>
    <w:p w14:paraId="56F923B5">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1）按下浮率报价（保留两位小数，如8.88%），同时填报投标报价（投标报价=最高投标限价*（1-投标下浮率），四舍五入保留两位小数）。当投标报价与投标下浮率计算结果不一致时，以投标下浮率为准，按上述公式修订投标报价，如单项报价与投标下浮率不对应的也需按投标下浮率修正单项报价。</w:t>
      </w:r>
    </w:p>
    <w:p w14:paraId="2B21B8FB">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（2）投标下浮率不低于0%为有效报价；当投标下浮率＞10%时应附成本分析报告，充分说明单价和费用的组成、降低成本的合理措施及在其他工程中应用过的经验等，经评审通过后方可视为有效报价。</w:t>
      </w:r>
    </w:p>
    <w:p w14:paraId="0CB61DC9">
      <w:pPr>
        <w:pStyle w:val="9"/>
        <w:numPr>
          <w:ilvl w:val="0"/>
          <w:numId w:val="0"/>
        </w:numPr>
        <w:shd w:val="clear" w:color="auto" w:fill="auto"/>
        <w:spacing w:line="360" w:lineRule="auto"/>
        <w:ind w:firstLine="420" w:firstLineChars="200"/>
        <w:rPr>
          <w:rFonts w:hint="eastAsia" w:hAnsi="宋体"/>
          <w:color w:val="auto"/>
          <w:szCs w:val="21"/>
          <w:highlight w:val="none"/>
          <w:u w:val="single"/>
          <w:lang w:val="en-US" w:eastAsia="zh-CN"/>
        </w:rPr>
      </w:pPr>
      <w:r>
        <w:rPr>
          <w:rFonts w:hint="eastAsia" w:hAnsi="宋体"/>
          <w:color w:val="auto"/>
          <w:szCs w:val="21"/>
          <w:highlight w:val="none"/>
          <w:u w:val="single"/>
          <w:lang w:val="en-US" w:eastAsia="zh-CN"/>
        </w:rPr>
        <w:t>（3）价格分计算时，投标人评标价按（100-投标人填写的下浮数值）参与计算。如：下浮率为1.88％时，评标价按（100-1.88）参与计算。</w:t>
      </w:r>
    </w:p>
    <w:p w14:paraId="6682E143">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四、结算方式</w:t>
      </w:r>
    </w:p>
    <w:p w14:paraId="5C16B170">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本合同采用 总价 形式，最终合同结算价为：（审定初步设计概算监理费+ 初设概算监理计费范围以外的监理工作费用）×（1-投标下浮率）±合同内约定且实际发生的相关奖罚费用 + 招标代理服务费。</w:t>
      </w:r>
    </w:p>
    <w:p w14:paraId="55FBF16A">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其中：</w:t>
      </w:r>
    </w:p>
    <w:p w14:paraId="5FE2DBC0">
      <w:pPr>
        <w:pStyle w:val="9"/>
        <w:numPr>
          <w:ilvl w:val="0"/>
          <w:numId w:val="2"/>
        </w:numPr>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审定初步设计概算监理费：</w:t>
      </w:r>
    </w:p>
    <w:p w14:paraId="062E8B55">
      <w:pPr>
        <w:pStyle w:val="9"/>
        <w:numPr>
          <w:ilvl w:val="0"/>
          <w:numId w:val="0"/>
        </w:numPr>
        <w:spacing w:line="360" w:lineRule="auto"/>
        <w:ind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1）</w:t>
      </w:r>
      <w:r>
        <w:rPr>
          <w:rFonts w:hint="eastAsia" w:ascii="宋体" w:hAnsi="宋体" w:eastAsia="宋体" w:cs="宋体"/>
          <w:b w:val="0"/>
          <w:bCs w:val="0"/>
          <w:color w:val="auto"/>
          <w:kern w:val="2"/>
          <w:sz w:val="21"/>
          <w:szCs w:val="21"/>
          <w:u w:val="single"/>
          <w:lang w:val="en-US" w:eastAsia="zh-CN" w:bidi="ar-SA"/>
        </w:rPr>
        <w:t>须与中标单位在本项目中参与的项目实施阶段对应，结算时由业主项目部进行复核确认。如中标单位未参与勘察设计阶段的监理工作，需扣除13%的监理费；如中标单位参与勘察设计阶段的监理工作，则按其所参与的阶段分别计取：勘察阶段按3%，初步设计阶段按4%、施工图设计阶段按6%。</w:t>
      </w:r>
    </w:p>
    <w:p w14:paraId="48F2F12B">
      <w:pPr>
        <w:pStyle w:val="9"/>
        <w:numPr>
          <w:ilvl w:val="0"/>
          <w:numId w:val="0"/>
        </w:numPr>
        <w:spacing w:line="360" w:lineRule="auto"/>
        <w:ind w:firstLine="420" w:firstLineChars="200"/>
        <w:rPr>
          <w:rFonts w:hint="eastAsia"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2）根据《关于印发公司基于安全管理的主网基建项目施工监理费用指导意见（试行）的通知》要求调整监理费结算金额。</w:t>
      </w:r>
    </w:p>
    <w:p w14:paraId="73773946">
      <w:pPr>
        <w:pStyle w:val="9"/>
        <w:numPr>
          <w:ilvl w:val="0"/>
          <w:numId w:val="0"/>
        </w:numPr>
        <w:spacing w:line="360" w:lineRule="auto"/>
        <w:ind w:firstLine="420" w:firstLineChars="200"/>
        <w:rPr>
          <w:rFonts w:hint="default" w:ascii="宋体" w:hAnsi="宋体" w:cs="宋体"/>
          <w:b w:val="0"/>
          <w:bCs w:val="0"/>
          <w:color w:val="auto"/>
          <w:kern w:val="2"/>
          <w:sz w:val="21"/>
          <w:szCs w:val="21"/>
          <w:u w:val="single"/>
          <w:lang w:val="en-US" w:eastAsia="zh-CN" w:bidi="ar-SA"/>
        </w:rPr>
      </w:pPr>
      <w:r>
        <w:rPr>
          <w:rFonts w:hint="eastAsia" w:ascii="宋体" w:hAnsi="宋体" w:cs="宋体"/>
          <w:b w:val="0"/>
          <w:bCs w:val="0"/>
          <w:color w:val="auto"/>
          <w:kern w:val="2"/>
          <w:sz w:val="21"/>
          <w:szCs w:val="21"/>
          <w:u w:val="single"/>
          <w:lang w:val="en-US" w:eastAsia="zh-CN" w:bidi="ar-SA"/>
        </w:rPr>
        <w:t>3）</w:t>
      </w:r>
      <w:r>
        <w:rPr>
          <w:rFonts w:hint="eastAsia" w:ascii="宋体" w:hAnsi="宋体" w:eastAsia="宋体" w:cs="宋体"/>
          <w:b w:val="0"/>
          <w:bCs w:val="0"/>
          <w:color w:val="auto"/>
          <w:kern w:val="2"/>
          <w:sz w:val="21"/>
          <w:szCs w:val="21"/>
          <w:u w:val="single"/>
          <w:lang w:val="en-US" w:eastAsia="zh-CN" w:bidi="ar-SA"/>
        </w:rPr>
        <w:t>因规模变化需要调整可研、初设、施工图的，结算价按调整后批复的初设概算对应参与阶段的监理费用×（1-投标下浮率）进行结算。</w:t>
      </w:r>
    </w:p>
    <w:p w14:paraId="2AA91F29">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2）“初设概算监理计费范围以外的监理工作”包括但不限于：监理单位对路面修复（含市政路面、公路等）、交通疏解、跨（穿）越铁路/公路、管线迁移、绿化迁移、林木砍伐等各项取费基数不包含在初设概算监理费计费基数中的非本体工程的监理见证工作。其监理费用取费基数为初设概算监理计费范围以外实际发生、且经由监理人见证确认部分的工程费用，该工程费用以业主项目部或第三方审核机构审定的为准；取费费率按照《关于落实《国家发展改革委关于进一步放开建设项目专业服务价格的通知》(发改价格[2015]299号)的指导意见（中电联定额[2015]162号文）》相关规定执行，不足部分参照相关行业费用计算规定执行。项目实施过程中如有最新规定，按新的政策性文件执行。</w:t>
      </w:r>
    </w:p>
    <w:p w14:paraId="7B5E3714">
      <w:pPr>
        <w:pStyle w:val="9"/>
        <w:spacing w:line="360" w:lineRule="auto"/>
        <w:ind w:left="0" w:leftChars="0" w:firstLine="420" w:firstLineChars="200"/>
        <w:rPr>
          <w:rFonts w:hint="eastAsia" w:ascii="宋体" w:hAnsi="宋体" w:eastAsia="宋体" w:cs="宋体"/>
          <w:b w:val="0"/>
          <w:bCs w:val="0"/>
          <w:color w:val="auto"/>
          <w:kern w:val="2"/>
          <w:sz w:val="21"/>
          <w:szCs w:val="21"/>
          <w:u w:val="single"/>
          <w:lang w:val="en-US" w:eastAsia="zh-CN" w:bidi="ar-SA"/>
        </w:rPr>
      </w:pPr>
      <w:r>
        <w:rPr>
          <w:rFonts w:hint="eastAsia" w:ascii="宋体" w:hAnsi="宋体" w:eastAsia="宋体" w:cs="宋体"/>
          <w:b w:val="0"/>
          <w:bCs w:val="0"/>
          <w:color w:val="auto"/>
          <w:kern w:val="2"/>
          <w:sz w:val="21"/>
          <w:szCs w:val="21"/>
          <w:u w:val="single"/>
          <w:lang w:val="en-US" w:eastAsia="zh-CN" w:bidi="ar-SA"/>
        </w:rPr>
        <w:t>（3）招标代理服务费按实际支付给招标代理的费用为准，监理人可在预付款申请或进度款申请时同时申请支付。</w:t>
      </w:r>
    </w:p>
    <w:p w14:paraId="1B3B1CDF">
      <w:pPr>
        <w:pStyle w:val="9"/>
        <w:spacing w:line="360" w:lineRule="auto"/>
        <w:ind w:left="0" w:leftChars="0" w:firstLine="420" w:firstLineChars="200"/>
        <w:rPr>
          <w:rFonts w:hint="eastAsia" w:hAnsi="宋体"/>
          <w:color w:val="auto"/>
          <w:szCs w:val="21"/>
          <w:highlight w:val="none"/>
          <w:u w:val="single"/>
          <w:lang w:val="en-US" w:eastAsia="zh-CN"/>
        </w:rPr>
      </w:pPr>
      <w:r>
        <w:rPr>
          <w:rFonts w:hint="eastAsia" w:ascii="宋体" w:hAnsi="宋体" w:eastAsia="宋体" w:cs="宋体"/>
          <w:b w:val="0"/>
          <w:bCs w:val="0"/>
          <w:color w:val="auto"/>
          <w:kern w:val="2"/>
          <w:sz w:val="21"/>
          <w:szCs w:val="21"/>
          <w:u w:val="single"/>
          <w:lang w:val="en-US" w:eastAsia="zh-CN" w:bidi="ar-SA"/>
        </w:rPr>
        <w:t>（4）投标下浮率（%）＝（1-投标报价/最高投标限价）×100%</w:t>
      </w:r>
    </w:p>
    <w:p w14:paraId="2094A9A4">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heme="minorEastAsia" w:hAnsiTheme="minorEastAsia" w:eastAsiaTheme="minorEastAsia" w:cstheme="minorEastAsia"/>
          <w:b/>
          <w:bCs/>
          <w:i w:val="0"/>
          <w:iCs/>
          <w:color w:val="auto"/>
          <w:kern w:val="2"/>
          <w:sz w:val="24"/>
          <w:szCs w:val="24"/>
          <w:highlight w:val="none"/>
          <w:u w:val="none"/>
          <w:lang w:val="en-US" w:eastAsia="zh-CN" w:bidi="ar-SA"/>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五、分包要求</w:t>
      </w:r>
    </w:p>
    <w:p w14:paraId="2AC37351">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rPr>
        <w:sym w:font="Wingdings" w:char="00FE"/>
      </w:r>
      <w:r>
        <w:rPr>
          <w:rFonts w:hint="eastAsia"/>
          <w:sz w:val="24"/>
          <w:szCs w:val="24"/>
          <w:highlight w:val="none"/>
          <w:lang w:eastAsia="zh-CN"/>
        </w:rPr>
        <w:t>不允许分包</w:t>
      </w:r>
    </w:p>
    <w:p w14:paraId="5671AFEA">
      <w:pPr>
        <w:pStyle w:val="10"/>
        <w:numPr>
          <w:ilvl w:val="0"/>
          <w:numId w:val="0"/>
        </w:numPr>
        <w:rPr>
          <w:rFonts w:hint="eastAsia"/>
          <w:sz w:val="24"/>
          <w:szCs w:val="24"/>
          <w:highlight w:val="none"/>
          <w:lang w:eastAsia="zh-CN"/>
        </w:rPr>
      </w:pPr>
      <w:r>
        <w:rPr>
          <w:rFonts w:hint="default" w:ascii="Wingdings" w:hAnsi="Wingdings" w:cs="Wingdings"/>
          <w:sz w:val="24"/>
          <w:szCs w:val="24"/>
          <w:highlight w:val="none"/>
          <w:lang w:eastAsia="zh-CN"/>
        </w:rPr>
        <w:sym w:font="Wingdings" w:char="00A8"/>
      </w:r>
      <w:r>
        <w:rPr>
          <w:rFonts w:hint="eastAsia"/>
          <w:sz w:val="24"/>
          <w:szCs w:val="24"/>
          <w:highlight w:val="none"/>
          <w:lang w:eastAsia="zh-CN"/>
        </w:rPr>
        <w:t>允许分包，但必须符合以下要求：</w:t>
      </w:r>
    </w:p>
    <w:p w14:paraId="7350D68E">
      <w:pPr>
        <w:pStyle w:val="8"/>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 xml:space="preserve">                                      /                                     </w:t>
      </w:r>
    </w:p>
    <w:p w14:paraId="49A07C1A">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1A762F7A">
      <w:pPr>
        <w:pStyle w:val="2"/>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397267C1">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1"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1"/>
    </w:p>
    <w:p w14:paraId="444957FC">
      <w:pPr>
        <w:pStyle w:val="2"/>
        <w:rPr>
          <w:rFonts w:hint="eastAsia" w:asciiTheme="minorEastAsia" w:hAnsiTheme="minorEastAsia" w:eastAsiaTheme="minorEastAsia" w:cstheme="minorEastAsia"/>
          <w:i w:val="0"/>
          <w:iCs/>
          <w:color w:val="auto"/>
          <w:sz w:val="24"/>
          <w:szCs w:val="24"/>
          <w:highlight w:val="none"/>
        </w:rPr>
      </w:pPr>
    </w:p>
    <w:p w14:paraId="1AFAA6C6">
      <w:pPr>
        <w:pStyle w:val="4"/>
        <w:spacing w:before="0" w:after="0" w:line="240" w:lineRule="auto"/>
        <w:rPr>
          <w:rFonts w:hint="eastAsia" w:asciiTheme="minorEastAsia" w:hAnsiTheme="minorEastAsia" w:eastAsiaTheme="minorEastAsia" w:cstheme="minorEastAsia"/>
          <w:i w:val="0"/>
          <w:iCs/>
          <w:color w:val="auto"/>
          <w:sz w:val="24"/>
          <w:szCs w:val="24"/>
          <w:highlight w:val="none"/>
        </w:rPr>
      </w:pPr>
      <w:bookmarkStart w:id="2"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2"/>
    </w:p>
    <w:p w14:paraId="2970A883">
      <w:pPr>
        <w:autoSpaceDE w:val="0"/>
        <w:autoSpaceDN w:val="0"/>
        <w:adjustRightInd w:val="0"/>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（一）满足中国南方电网有限责任公司《监理项目部工作手册》、中国南方电网有限责任公司基建管理制度、建设单位的质量、环境和职业健康安全管理体系文件、其他有关制度和规定。</w:t>
      </w:r>
    </w:p>
    <w:p w14:paraId="2D34BC85">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6D45460E">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70C17FC8">
      <w:pPr>
        <w:pStyle w:val="2"/>
        <w:numPr>
          <w:ilvl w:val="0"/>
          <w:numId w:val="0"/>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2FB30BE4">
      <w:pPr>
        <w:pStyle w:val="2"/>
        <w:numPr>
          <w:ilvl w:val="0"/>
          <w:numId w:val="4"/>
        </w:numPr>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7832D22A">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7E8B0AAD">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19E70427">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92EBC2A">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69E676FD">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1F86C709">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3B433F2C">
      <w:pPr>
        <w:pStyle w:val="2"/>
        <w:numPr>
          <w:ilvl w:val="0"/>
          <w:numId w:val="4"/>
        </w:numPr>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4E0DCEEA">
      <w:pPr>
        <w:pStyle w:val="2"/>
        <w:numPr>
          <w:ilvl w:val="0"/>
          <w:numId w:val="4"/>
        </w:numPr>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51768F0E">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3" w:name="_Toc482188640"/>
      <w:bookmarkStart w:id="4" w:name="_Toc11396"/>
      <w:r>
        <w:rPr>
          <w:rFonts w:hint="eastAsia" w:asciiTheme="minorEastAsia" w:hAnsiTheme="minorEastAsia" w:eastAsiaTheme="minorEastAsia" w:cstheme="minorEastAsia"/>
          <w:i w:val="0"/>
          <w:iCs/>
          <w:color w:val="auto"/>
          <w:sz w:val="24"/>
          <w:szCs w:val="24"/>
          <w:highlight w:val="none"/>
          <w:lang w:eastAsia="zh-CN"/>
        </w:rPr>
        <w:t>三、</w:t>
      </w:r>
      <w:bookmarkEnd w:id="3"/>
      <w:r>
        <w:rPr>
          <w:rFonts w:hint="eastAsia" w:asciiTheme="minorEastAsia" w:hAnsiTheme="minorEastAsia" w:eastAsiaTheme="minorEastAsia" w:cstheme="minorEastAsia"/>
          <w:i w:val="0"/>
          <w:iCs/>
          <w:color w:val="auto"/>
          <w:sz w:val="24"/>
          <w:szCs w:val="24"/>
          <w:highlight w:val="none"/>
          <w:lang w:eastAsia="zh-CN"/>
        </w:rPr>
        <w:t>图纸</w:t>
      </w:r>
      <w:bookmarkEnd w:id="4"/>
    </w:p>
    <w:p w14:paraId="6CF960B6">
      <w:pPr>
        <w:spacing w:line="360" w:lineRule="auto"/>
        <w:ind w:firstLine="480" w:firstLineChars="200"/>
        <w:rPr>
          <w:rFonts w:hint="eastAsia"/>
          <w:color w:val="auto"/>
          <w:sz w:val="24"/>
          <w:szCs w:val="24"/>
          <w:highlight w:val="none"/>
        </w:rPr>
      </w:pPr>
      <w:bookmarkStart w:id="5" w:name="_Toc482188644"/>
      <w:r>
        <w:rPr>
          <w:rFonts w:hint="eastAsia"/>
          <w:color w:val="auto"/>
          <w:sz w:val="24"/>
          <w:szCs w:val="24"/>
          <w:highlight w:val="none"/>
        </w:rPr>
        <w:t>有关设计文件、图纸及资料。</w:t>
      </w:r>
    </w:p>
    <w:p w14:paraId="53036735">
      <w:pPr>
        <w:pStyle w:val="4"/>
        <w:keepNext w:val="0"/>
        <w:keepLines w:val="0"/>
        <w:pageBreakBefore w:val="0"/>
        <w:widowControl w:val="0"/>
        <w:shd w:val="clear" w:color="auto" w:fill="auto"/>
        <w:kinsoku/>
        <w:wordWrap/>
        <w:overflowPunct/>
        <w:topLinePunct w:val="0"/>
        <w:autoSpaceDE w:val="0"/>
        <w:autoSpaceDN w:val="0"/>
        <w:bidi w:val="0"/>
        <w:adjustRightInd w:val="0"/>
        <w:snapToGrid/>
        <w:spacing w:before="157" w:beforeLines="50" w:after="157" w:afterLines="50" w:line="240" w:lineRule="auto"/>
        <w:textAlignment w:val="auto"/>
        <w:rPr>
          <w:rFonts w:hint="eastAsia" w:asciiTheme="minorEastAsia" w:hAnsiTheme="minorEastAsia" w:eastAsiaTheme="minorEastAsia" w:cstheme="minorEastAsia"/>
          <w:i w:val="0"/>
          <w:iCs/>
          <w:color w:val="auto"/>
          <w:sz w:val="24"/>
          <w:szCs w:val="24"/>
          <w:highlight w:val="none"/>
          <w:lang w:eastAsia="zh-CN"/>
        </w:rPr>
      </w:pPr>
      <w:bookmarkStart w:id="6" w:name="_Toc30760"/>
      <w:r>
        <w:rPr>
          <w:rFonts w:hint="eastAsia" w:asciiTheme="minorEastAsia" w:hAnsiTheme="minorEastAsia" w:eastAsiaTheme="minorEastAsia" w:cstheme="minorEastAsia"/>
          <w:i w:val="0"/>
          <w:iCs/>
          <w:color w:val="auto"/>
          <w:sz w:val="24"/>
          <w:szCs w:val="24"/>
          <w:highlight w:val="none"/>
          <w:lang w:eastAsia="zh-CN"/>
        </w:rPr>
        <w:t>四、</w:t>
      </w:r>
      <w:bookmarkEnd w:id="5"/>
      <w:bookmarkStart w:id="7" w:name="_Toc482188646"/>
      <w:r>
        <w:rPr>
          <w:rFonts w:hint="eastAsia" w:asciiTheme="minorEastAsia" w:hAnsiTheme="minorEastAsia" w:eastAsiaTheme="minorEastAsia" w:cstheme="minorEastAsia"/>
          <w:i w:val="0"/>
          <w:iCs/>
          <w:color w:val="auto"/>
          <w:sz w:val="24"/>
          <w:szCs w:val="24"/>
          <w:highlight w:val="none"/>
          <w:lang w:eastAsia="zh-CN"/>
        </w:rPr>
        <w:t>其他要求</w:t>
      </w:r>
      <w:bookmarkEnd w:id="6"/>
      <w:bookmarkEnd w:id="7"/>
    </w:p>
    <w:p w14:paraId="2D4C9C0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招标</w:t>
      </w:r>
      <w:r>
        <w:rPr>
          <w:rFonts w:hint="eastAsia" w:asciiTheme="minorEastAsia" w:hAnsiTheme="minorEastAsia" w:eastAsiaTheme="minorEastAsia" w:cstheme="minorEastAsia"/>
          <w:color w:val="auto"/>
          <w:sz w:val="24"/>
          <w:szCs w:val="24"/>
          <w:highlight w:val="none"/>
        </w:rPr>
        <w:t>人根据委托的监理范围和内容，随招标文件向投标人提供与监理范围和内容有关的以下文件、资料：</w:t>
      </w:r>
    </w:p>
    <w:p w14:paraId="474AB45C">
      <w:pPr>
        <w:pStyle w:val="1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无</w:t>
      </w:r>
    </w:p>
    <w:p w14:paraId="2272122B">
      <w:pPr>
        <w:pStyle w:val="10"/>
        <w:rPr>
          <w:rFonts w:hint="eastAsia" w:asciiTheme="minorEastAsia" w:hAnsiTheme="minorEastAsia" w:eastAsiaTheme="minorEastAsia" w:cstheme="minorEastAsia"/>
          <w:color w:val="auto"/>
          <w:sz w:val="24"/>
          <w:szCs w:val="24"/>
          <w:highlight w:val="none"/>
          <w:lang w:val="en-US" w:eastAsia="zh-CN"/>
        </w:rPr>
      </w:pPr>
    </w:p>
    <w:p w14:paraId="1D6B5B30">
      <w:pPr>
        <w:pStyle w:val="10"/>
        <w:rPr>
          <w:rFonts w:hint="eastAsia" w:ascii="宋体" w:hAnsi="宋体" w:eastAsia="宋体" w:cs="宋体"/>
          <w:color w:val="auto"/>
          <w:sz w:val="24"/>
          <w:szCs w:val="24"/>
          <w:highlight w:val="none"/>
          <w:u w:val="single"/>
          <w:vertAlign w:val="baseline"/>
          <w:lang w:val="en-US" w:eastAsia="zh-CN"/>
        </w:rPr>
      </w:pPr>
    </w:p>
    <w:p w14:paraId="4C45FFCC">
      <w:pPr>
        <w:pStyle w:val="10"/>
        <w:rPr>
          <w:rFonts w:hint="eastAsia" w:ascii="宋体" w:hAnsi="宋体" w:eastAsia="宋体" w:cs="宋体"/>
          <w:color w:val="auto"/>
          <w:sz w:val="24"/>
          <w:szCs w:val="24"/>
          <w:highlight w:val="none"/>
          <w:u w:val="single"/>
          <w:vertAlign w:val="baseline"/>
          <w:lang w:val="en-US" w:eastAsia="zh-CN"/>
        </w:rPr>
      </w:pPr>
    </w:p>
    <w:p w14:paraId="136F0329">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bookmarkStart w:id="8" w:name="_GoBack"/>
      <w:bookmarkEnd w:id="8"/>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21622"/>
    <w:multiLevelType w:val="singleLevel"/>
    <w:tmpl w:val="CC821622"/>
    <w:lvl w:ilvl="0" w:tentative="0">
      <w:start w:val="1"/>
      <w:numFmt w:val="decimal"/>
      <w:suff w:val="nothing"/>
      <w:lvlText w:val="（%1）"/>
      <w:lvlJc w:val="left"/>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4122DDE1"/>
    <w:multiLevelType w:val="singleLevel"/>
    <w:tmpl w:val="4122DDE1"/>
    <w:lvl w:ilvl="0" w:tentative="0">
      <w:start w:val="2"/>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0CB6CDC"/>
    <w:rsid w:val="034C42F7"/>
    <w:rsid w:val="039575D4"/>
    <w:rsid w:val="03F1316B"/>
    <w:rsid w:val="04A24F71"/>
    <w:rsid w:val="06F10EB7"/>
    <w:rsid w:val="076F3B3B"/>
    <w:rsid w:val="07CA37DF"/>
    <w:rsid w:val="07CC3833"/>
    <w:rsid w:val="090044B4"/>
    <w:rsid w:val="0BC07002"/>
    <w:rsid w:val="0BD30473"/>
    <w:rsid w:val="0C374288"/>
    <w:rsid w:val="0E2F4C02"/>
    <w:rsid w:val="0E3616E0"/>
    <w:rsid w:val="0E937FF7"/>
    <w:rsid w:val="0F81532F"/>
    <w:rsid w:val="0FEC331E"/>
    <w:rsid w:val="107144D2"/>
    <w:rsid w:val="10D13BE7"/>
    <w:rsid w:val="11363DD7"/>
    <w:rsid w:val="116419AD"/>
    <w:rsid w:val="11794537"/>
    <w:rsid w:val="11DF6CFE"/>
    <w:rsid w:val="13383335"/>
    <w:rsid w:val="13BE0DCC"/>
    <w:rsid w:val="14440D4B"/>
    <w:rsid w:val="14B666F3"/>
    <w:rsid w:val="15056A61"/>
    <w:rsid w:val="15E77962"/>
    <w:rsid w:val="182633AB"/>
    <w:rsid w:val="18E57496"/>
    <w:rsid w:val="1A133D08"/>
    <w:rsid w:val="1A2D5CFF"/>
    <w:rsid w:val="1A386933"/>
    <w:rsid w:val="1A4F176B"/>
    <w:rsid w:val="1A912F72"/>
    <w:rsid w:val="1B663F82"/>
    <w:rsid w:val="1BCD707C"/>
    <w:rsid w:val="1C2D4629"/>
    <w:rsid w:val="1C43636C"/>
    <w:rsid w:val="1D904223"/>
    <w:rsid w:val="1F653C49"/>
    <w:rsid w:val="1F6C0D31"/>
    <w:rsid w:val="1FF914D4"/>
    <w:rsid w:val="20735046"/>
    <w:rsid w:val="216F4D5B"/>
    <w:rsid w:val="23B738BA"/>
    <w:rsid w:val="24E67795"/>
    <w:rsid w:val="24F737D8"/>
    <w:rsid w:val="25100685"/>
    <w:rsid w:val="2629602A"/>
    <w:rsid w:val="26A73075"/>
    <w:rsid w:val="2B8E0DC3"/>
    <w:rsid w:val="2CA17C08"/>
    <w:rsid w:val="2DDF66E3"/>
    <w:rsid w:val="2FF65FF8"/>
    <w:rsid w:val="300D195C"/>
    <w:rsid w:val="30343305"/>
    <w:rsid w:val="30BF37B5"/>
    <w:rsid w:val="31C955A9"/>
    <w:rsid w:val="338350FE"/>
    <w:rsid w:val="33B200AF"/>
    <w:rsid w:val="33BC6731"/>
    <w:rsid w:val="33E61BE2"/>
    <w:rsid w:val="361736AD"/>
    <w:rsid w:val="367C3D7A"/>
    <w:rsid w:val="36D200CF"/>
    <w:rsid w:val="379951F8"/>
    <w:rsid w:val="380F1889"/>
    <w:rsid w:val="38382DC3"/>
    <w:rsid w:val="38DE045C"/>
    <w:rsid w:val="3971538C"/>
    <w:rsid w:val="3A546240"/>
    <w:rsid w:val="3BF24D81"/>
    <w:rsid w:val="3BFE7BEA"/>
    <w:rsid w:val="3C4750A3"/>
    <w:rsid w:val="3C4A35F1"/>
    <w:rsid w:val="3DCF5ED3"/>
    <w:rsid w:val="3E664B6D"/>
    <w:rsid w:val="3ED7087B"/>
    <w:rsid w:val="3F141BFC"/>
    <w:rsid w:val="3F496BC0"/>
    <w:rsid w:val="3F733CDE"/>
    <w:rsid w:val="444D481C"/>
    <w:rsid w:val="44982260"/>
    <w:rsid w:val="44D414C9"/>
    <w:rsid w:val="457540AA"/>
    <w:rsid w:val="46472D5E"/>
    <w:rsid w:val="46921BFD"/>
    <w:rsid w:val="496A657E"/>
    <w:rsid w:val="49843C09"/>
    <w:rsid w:val="4B3A1BDA"/>
    <w:rsid w:val="4BF83760"/>
    <w:rsid w:val="4C8349B8"/>
    <w:rsid w:val="520D6E5F"/>
    <w:rsid w:val="53115540"/>
    <w:rsid w:val="544F1499"/>
    <w:rsid w:val="55C3156A"/>
    <w:rsid w:val="5782183A"/>
    <w:rsid w:val="57BD355E"/>
    <w:rsid w:val="59A5419F"/>
    <w:rsid w:val="5B0320E2"/>
    <w:rsid w:val="5B8B11A7"/>
    <w:rsid w:val="5B9E2EC4"/>
    <w:rsid w:val="5C6970CA"/>
    <w:rsid w:val="5CE526ED"/>
    <w:rsid w:val="608606DE"/>
    <w:rsid w:val="60EA689A"/>
    <w:rsid w:val="610E324A"/>
    <w:rsid w:val="61F31EFD"/>
    <w:rsid w:val="63066BC7"/>
    <w:rsid w:val="63D0487B"/>
    <w:rsid w:val="64672037"/>
    <w:rsid w:val="64911DA0"/>
    <w:rsid w:val="64DB776F"/>
    <w:rsid w:val="65945D8D"/>
    <w:rsid w:val="66483CCB"/>
    <w:rsid w:val="66AF454A"/>
    <w:rsid w:val="66C35559"/>
    <w:rsid w:val="67D57489"/>
    <w:rsid w:val="68570F93"/>
    <w:rsid w:val="690F0651"/>
    <w:rsid w:val="6A287B5E"/>
    <w:rsid w:val="6AB96187"/>
    <w:rsid w:val="6B303A1A"/>
    <w:rsid w:val="6DAA2FDF"/>
    <w:rsid w:val="6DD258DC"/>
    <w:rsid w:val="6E121228"/>
    <w:rsid w:val="6E546910"/>
    <w:rsid w:val="6FC971BF"/>
    <w:rsid w:val="70D1495F"/>
    <w:rsid w:val="70ED510D"/>
    <w:rsid w:val="741F72F3"/>
    <w:rsid w:val="74695E39"/>
    <w:rsid w:val="74BA59EB"/>
    <w:rsid w:val="754C6F3B"/>
    <w:rsid w:val="75B11AFF"/>
    <w:rsid w:val="75D32619"/>
    <w:rsid w:val="75D7406F"/>
    <w:rsid w:val="765369C1"/>
    <w:rsid w:val="767D6887"/>
    <w:rsid w:val="778203F0"/>
    <w:rsid w:val="77C31042"/>
    <w:rsid w:val="77E2713E"/>
    <w:rsid w:val="780B6A75"/>
    <w:rsid w:val="79F83E18"/>
    <w:rsid w:val="7A262145"/>
    <w:rsid w:val="7A53531F"/>
    <w:rsid w:val="7BEC3F2B"/>
    <w:rsid w:val="7D0F76D8"/>
    <w:rsid w:val="7D675B4E"/>
    <w:rsid w:val="7E3420E0"/>
    <w:rsid w:val="7E535DCD"/>
    <w:rsid w:val="7F7B4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 w:type="paragraph" w:customStyle="1" w:styleId="15">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2627</Words>
  <Characters>2845</Characters>
  <Lines>0</Lines>
  <Paragraphs>0</Paragraphs>
  <TotalTime>0</TotalTime>
  <ScaleCrop>false</ScaleCrop>
  <LinksUpToDate>false</LinksUpToDate>
  <CharactersWithSpaces>3107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马骏安</cp:lastModifiedBy>
  <cp:lastPrinted>2025-09-29T08:45:00Z</cp:lastPrinted>
  <dcterms:modified xsi:type="dcterms:W3CDTF">2025-10-28T07:21:18Z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F02FA94DBBA44400AE4207B5E6D1A59E</vt:lpwstr>
  </property>
  <property fmtid="{D5CDD505-2E9C-101B-9397-08002B2CF9AE}" pid="4" name="KSOTemplateDocerSaveRecord">
    <vt:lpwstr>eyJoZGlkIjoiNGQxZGUyZmQ5MDU5MjhiNzUxNWY4N2Q0ZGU2Y2VhOTgiLCJ1c2VySWQiOiI3MDM5OTYzMzMifQ==</vt:lpwstr>
  </property>
</Properties>
</file>