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6D031">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110千伏礼村II（植村）输变电工程（电气分册）</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监理）</w:t>
      </w:r>
    </w:p>
    <w:bookmarkEnd w:id="0"/>
    <w:p w14:paraId="631C2526">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20899FBD">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03CE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5833B08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32E4AA4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2A20A32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4F90D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8E542D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45C50C4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7F09911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广供电基〔2025〕88 号</w:t>
            </w:r>
          </w:p>
        </w:tc>
      </w:tr>
      <w:tr w14:paraId="257D6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EF70D1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4CD8A50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6555894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穗发改核准〔2021〕37号</w:t>
            </w:r>
          </w:p>
        </w:tc>
      </w:tr>
      <w:tr w14:paraId="7C3A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7C310A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664D858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1844210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广供电资〔2025〕41 号</w:t>
            </w:r>
          </w:p>
        </w:tc>
      </w:tr>
      <w:tr w14:paraId="046AB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3D0727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1653E36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6E2B0C2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259F5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6AA30D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786369A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39F01FB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广州市番禺区</w:t>
            </w:r>
          </w:p>
        </w:tc>
      </w:tr>
      <w:tr w14:paraId="6A461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7D06B43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44EB25E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45C6EC4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广州汇隽电力工程设计有限公司</w:t>
            </w:r>
          </w:p>
        </w:tc>
      </w:tr>
      <w:tr w14:paraId="3C155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14:paraId="2B3AF6B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15F4D7D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7575022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合同签订之日起至2027年12月31日，实际工期以开工报告、竣工报告为准。</w:t>
            </w:r>
          </w:p>
        </w:tc>
      </w:tr>
    </w:tbl>
    <w:p w14:paraId="383BED53">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68ACDC9F">
      <w:pP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270FEA0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ind w:firstLine="482" w:firstLineChars="200"/>
        <w:jc w:val="left"/>
        <w:textAlignment w:val="auto"/>
        <w:rPr>
          <w:rFonts w:hint="eastAsia" w:asciiTheme="minorEastAsia" w:hAnsiTheme="minorEastAsia" w:eastAsiaTheme="minorEastAsia" w:cstheme="minorEastAsia"/>
          <w:b/>
          <w:bCs/>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vertAlign w:val="baseline"/>
          <w:lang w:val="en-US" w:eastAsia="zh-CN"/>
        </w:rPr>
        <w:t>※变电站部分:</w:t>
      </w:r>
    </w:p>
    <w:p w14:paraId="3C67C023">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1、110kV礼村Ⅱ（植村）变电站工程（电气分册）：本期新建2台6.3万千伏安主变压器，同时装设2×2×6兆乏电容器组及2×1×6兆乏电抗器组，本期新建110kV出线2回，10kV出线2×16回。</w:t>
      </w:r>
    </w:p>
    <w:p w14:paraId="2086AE3D">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2、对侧松涛站110kV间隔扩建工程：220kV松涛站利用原110kV备用间隔接入本期电缆。</w:t>
      </w:r>
    </w:p>
    <w:p w14:paraId="4CDC4BC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ind w:firstLine="482" w:firstLineChars="200"/>
        <w:jc w:val="left"/>
        <w:textAlignment w:val="auto"/>
        <w:rPr>
          <w:rFonts w:hint="eastAsia" w:asciiTheme="minorEastAsia" w:hAnsiTheme="minorEastAsia" w:eastAsiaTheme="minorEastAsia" w:cstheme="minorEastAsia"/>
          <w:b/>
          <w:bCs/>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vertAlign w:val="baseline"/>
          <w:lang w:val="en-US" w:eastAsia="zh-CN"/>
        </w:rPr>
        <w:t>※电缆线路部分:</w:t>
      </w:r>
    </w:p>
    <w:p w14:paraId="325484AB">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1、110kV松涛至礼村电缆线路工程：新建单回110kV电缆线路5.2km,电缆截面1200mm²。</w:t>
      </w:r>
    </w:p>
    <w:p w14:paraId="0EB4D6DB">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2、110kV礼村Ⅱ（植村）1回T接110kV松涛至礼村电缆线路工程：新建单回110kV电缆线路2.26km,电缆截面1200mm²。</w:t>
      </w:r>
    </w:p>
    <w:p w14:paraId="059FA5D3">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3、110kV礼村Ⅱ（植村）1回T接110kV聚飘线电缆线路工程：新建单回110kV电缆线路1.82km，电缆截面1200mm²。</w:t>
      </w:r>
    </w:p>
    <w:p w14:paraId="6CD76DB2">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4、南浦站#3变改为T接松涛至礼村电缆线路工程：改接110kV松涛～礼村～南浦线路单回电缆线路0.46km，电缆截面1200mm²。</w:t>
      </w:r>
    </w:p>
    <w:p w14:paraId="7ECE4FA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ind w:firstLine="482" w:firstLineChars="200"/>
        <w:jc w:val="left"/>
        <w:textAlignment w:val="auto"/>
        <w:rPr>
          <w:rFonts w:hint="eastAsia" w:asciiTheme="minorEastAsia" w:hAnsiTheme="minorEastAsia" w:eastAsiaTheme="minorEastAsia" w:cstheme="minorEastAsia"/>
          <w:b/>
          <w:bCs/>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vertAlign w:val="baseline"/>
          <w:lang w:val="en-US" w:eastAsia="zh-CN"/>
        </w:rPr>
        <w:t>※通信部分:</w:t>
      </w:r>
    </w:p>
    <w:p w14:paraId="5C0C313F">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1、110kV礼村Ⅱ（植村）变电站通信设备工程：本期配置传输网设备（STM-16）ASON及（STM-64）ASON各1套、调度数据网设备共2套、生产综合业务网设备共1套、配电数据网设备共2套、通信电源（48V/120A）共2套。</w:t>
      </w:r>
    </w:p>
    <w:p w14:paraId="71E0143C">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2、110kV松涛至礼村通信光缆工程：新建1条48芯管道光缆，路径长5.2km，光缆长度5.7km。</w:t>
      </w:r>
    </w:p>
    <w:p w14:paraId="63D82A93">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3、110kV植村1回T接110kV松涛至礼村通信光缆工程：新建1条48芯管道光缆，路径长2.26km，光缆长度2.7km。</w:t>
      </w:r>
    </w:p>
    <w:p w14:paraId="17F81278">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4、110kV植村1回T接110kV聚飘线通信光缆工程：新建1条48芯管道光缆，路径长2.28km，光缆长度2.7km。</w:t>
      </w:r>
    </w:p>
    <w:p w14:paraId="58633081">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color w:val="auto"/>
          <w:highlight w:val="none"/>
          <w:lang w:val="en-US" w:eastAsia="zh-CN"/>
        </w:rPr>
      </w:pPr>
      <w:r>
        <w:rPr>
          <w:rFonts w:hint="eastAsia" w:ascii="宋体" w:hAnsi="宋体" w:eastAsia="宋体" w:cs="宋体"/>
          <w:color w:val="auto"/>
          <w:sz w:val="24"/>
          <w:szCs w:val="24"/>
          <w:highlight w:val="none"/>
          <w:lang w:val="en-US" w:eastAsia="zh-CN"/>
        </w:rPr>
        <w:t>具体建设规模以施工图纸为准。</w:t>
      </w:r>
    </w:p>
    <w:p w14:paraId="2A2E6FF5">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76B45DA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color w:val="auto"/>
          <w:sz w:val="24"/>
          <w:szCs w:val="24"/>
          <w:highlight w:val="none"/>
          <w:u w:val="single"/>
        </w:rPr>
        <w:t>勘察设计、施工准备（含三通一平）、施工（含通信）、竣工结算、缺陷责任期、电子化移交的全过程监理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14:paraId="3A16FF88">
      <w:pPr>
        <w:pStyle w:val="3"/>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1"/>
        <w:tblpPr w:leftFromText="180" w:rightFromText="180" w:vertAnchor="text" w:horzAnchor="page" w:tblpX="1646" w:tblpY="6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2466"/>
        <w:gridCol w:w="1670"/>
        <w:gridCol w:w="1135"/>
        <w:gridCol w:w="1714"/>
        <w:gridCol w:w="1246"/>
      </w:tblGrid>
      <w:tr w14:paraId="254A2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3" w:hRule="atLeast"/>
        </w:trPr>
        <w:tc>
          <w:tcPr>
            <w:tcW w:w="926" w:type="dxa"/>
            <w:tcBorders>
              <w:bottom w:val="single" w:color="auto" w:sz="4" w:space="0"/>
            </w:tcBorders>
            <w:noWrap w:val="0"/>
            <w:vAlign w:val="center"/>
          </w:tcPr>
          <w:p w14:paraId="41E481C4">
            <w:pPr>
              <w:tabs>
                <w:tab w:val="left" w:pos="900"/>
              </w:tabs>
              <w:snapToGrid w:val="0"/>
              <w:ind w:right="-24"/>
              <w:jc w:val="center"/>
              <w:rPr>
                <w:rFonts w:ascii="宋体" w:hAnsi="宋体"/>
                <w:color w:val="auto"/>
                <w:highlight w:val="none"/>
              </w:rPr>
            </w:pPr>
            <w:r>
              <w:rPr>
                <w:rFonts w:hint="eastAsia" w:ascii="宋体" w:hAnsi="宋体"/>
                <w:color w:val="auto"/>
                <w:highlight w:val="none"/>
              </w:rPr>
              <w:t>序号</w:t>
            </w:r>
          </w:p>
        </w:tc>
        <w:tc>
          <w:tcPr>
            <w:tcW w:w="2466" w:type="dxa"/>
            <w:tcBorders>
              <w:bottom w:val="single" w:color="auto" w:sz="4" w:space="0"/>
            </w:tcBorders>
            <w:noWrap w:val="0"/>
            <w:vAlign w:val="center"/>
          </w:tcPr>
          <w:p w14:paraId="38405A62">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1670" w:type="dxa"/>
            <w:noWrap w:val="0"/>
            <w:vAlign w:val="top"/>
          </w:tcPr>
          <w:p w14:paraId="2A93A26F">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135" w:type="dxa"/>
            <w:tcBorders>
              <w:bottom w:val="single" w:color="auto" w:sz="4" w:space="0"/>
            </w:tcBorders>
            <w:noWrap w:val="0"/>
            <w:vAlign w:val="center"/>
          </w:tcPr>
          <w:p w14:paraId="6C1ABD9C">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714" w:type="dxa"/>
            <w:tcBorders>
              <w:bottom w:val="single" w:color="auto" w:sz="4" w:space="0"/>
            </w:tcBorders>
            <w:noWrap w:val="0"/>
            <w:vAlign w:val="top"/>
          </w:tcPr>
          <w:p w14:paraId="25149AB7">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1246" w:type="dxa"/>
            <w:tcBorders>
              <w:bottom w:val="single" w:color="auto" w:sz="4" w:space="0"/>
            </w:tcBorders>
            <w:noWrap w:val="0"/>
            <w:vAlign w:val="center"/>
          </w:tcPr>
          <w:p w14:paraId="694C601D">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14:paraId="2114A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trPr>
        <w:tc>
          <w:tcPr>
            <w:tcW w:w="926" w:type="dxa"/>
            <w:tcBorders>
              <w:top w:val="single" w:color="auto" w:sz="4" w:space="0"/>
              <w:bottom w:val="single" w:color="auto" w:sz="4" w:space="0"/>
            </w:tcBorders>
            <w:noWrap w:val="0"/>
            <w:vAlign w:val="center"/>
          </w:tcPr>
          <w:p w14:paraId="378174BC">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一</w:t>
            </w:r>
          </w:p>
        </w:tc>
        <w:tc>
          <w:tcPr>
            <w:tcW w:w="2466" w:type="dxa"/>
            <w:tcBorders>
              <w:top w:val="single" w:color="auto" w:sz="4" w:space="0"/>
              <w:bottom w:val="single" w:color="auto" w:sz="4" w:space="0"/>
            </w:tcBorders>
            <w:noWrap w:val="0"/>
            <w:vAlign w:val="center"/>
          </w:tcPr>
          <w:p w14:paraId="3A601527">
            <w:pPr>
              <w:widowControl/>
              <w:spacing w:beforeLines="0" w:afterLines="0"/>
              <w:jc w:val="left"/>
              <w:textAlignment w:val="center"/>
              <w:rPr>
                <w:rFonts w:hint="eastAsia"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变电站工程</w:t>
            </w:r>
          </w:p>
        </w:tc>
        <w:tc>
          <w:tcPr>
            <w:tcW w:w="1670" w:type="dxa"/>
            <w:noWrap w:val="0"/>
            <w:vAlign w:val="center"/>
          </w:tcPr>
          <w:p w14:paraId="36577029">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4224</w:t>
            </w:r>
            <w:r>
              <w:rPr>
                <w:rFonts w:hint="eastAsia" w:ascii="宋体" w:hAnsi="宋体" w:cs="宋体"/>
                <w:b/>
                <w:color w:val="000000"/>
                <w:kern w:val="0"/>
                <w:sz w:val="20"/>
                <w:szCs w:val="20"/>
                <w:lang w:val="en-US" w:eastAsia="zh-CN" w:bidi="ar"/>
              </w:rPr>
              <w:t>00.00</w:t>
            </w:r>
            <w:r>
              <w:rPr>
                <w:rFonts w:hint="default" w:ascii="宋体" w:hAnsi="宋体" w:cs="宋体"/>
                <w:b/>
                <w:color w:val="000000"/>
                <w:kern w:val="0"/>
                <w:sz w:val="20"/>
                <w:szCs w:val="20"/>
                <w:lang w:bidi="ar"/>
              </w:rPr>
              <w:t xml:space="preserve"> </w:t>
            </w:r>
          </w:p>
        </w:tc>
        <w:tc>
          <w:tcPr>
            <w:tcW w:w="1135" w:type="dxa"/>
            <w:vMerge w:val="restart"/>
            <w:tcBorders>
              <w:top w:val="single" w:color="auto" w:sz="4" w:space="0"/>
            </w:tcBorders>
            <w:noWrap w:val="0"/>
            <w:vAlign w:val="center"/>
          </w:tcPr>
          <w:p w14:paraId="5D58FD8E">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714" w:type="dxa"/>
            <w:tcBorders>
              <w:top w:val="single" w:color="auto" w:sz="4" w:space="0"/>
            </w:tcBorders>
            <w:noWrap w:val="0"/>
            <w:vAlign w:val="top"/>
          </w:tcPr>
          <w:p w14:paraId="00F087AC">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780CD8CB">
            <w:pPr>
              <w:tabs>
                <w:tab w:val="left" w:pos="900"/>
              </w:tabs>
              <w:snapToGrid w:val="0"/>
              <w:spacing w:before="60" w:after="120"/>
              <w:ind w:right="-24"/>
              <w:jc w:val="center"/>
              <w:rPr>
                <w:rFonts w:ascii="宋体" w:hAnsi="宋体"/>
                <w:color w:val="auto"/>
                <w:highlight w:val="none"/>
              </w:rPr>
            </w:pPr>
          </w:p>
        </w:tc>
      </w:tr>
      <w:tr w14:paraId="40D9D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926" w:type="dxa"/>
            <w:tcBorders>
              <w:top w:val="single" w:color="auto" w:sz="4" w:space="0"/>
              <w:bottom w:val="single" w:color="auto" w:sz="4" w:space="0"/>
            </w:tcBorders>
            <w:noWrap w:val="0"/>
            <w:vAlign w:val="center"/>
          </w:tcPr>
          <w:p w14:paraId="27174DDF">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w:t>
            </w:r>
          </w:p>
        </w:tc>
        <w:tc>
          <w:tcPr>
            <w:tcW w:w="2466" w:type="dxa"/>
            <w:tcBorders>
              <w:top w:val="single" w:color="auto" w:sz="4" w:space="0"/>
              <w:bottom w:val="single" w:color="auto" w:sz="4" w:space="0"/>
            </w:tcBorders>
            <w:noWrap w:val="0"/>
            <w:vAlign w:val="center"/>
          </w:tcPr>
          <w:p w14:paraId="4B8C7B7D">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110kV礼村Ⅱ（植村）变电站工程（电气分册）</w:t>
            </w:r>
          </w:p>
        </w:tc>
        <w:tc>
          <w:tcPr>
            <w:tcW w:w="1670" w:type="dxa"/>
            <w:noWrap w:val="0"/>
            <w:vAlign w:val="center"/>
          </w:tcPr>
          <w:p w14:paraId="5A75AE93">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4087</w:t>
            </w:r>
            <w:r>
              <w:rPr>
                <w:rFonts w:hint="eastAsia" w:ascii="宋体" w:hAnsi="宋体" w:cs="宋体"/>
                <w:color w:val="000000"/>
                <w:kern w:val="0"/>
                <w:sz w:val="20"/>
                <w:szCs w:val="20"/>
                <w:lang w:val="en-US" w:eastAsia="zh-CN" w:bidi="ar"/>
              </w:rPr>
              <w:t>00.00</w:t>
            </w:r>
            <w:r>
              <w:rPr>
                <w:rFonts w:hint="default" w:ascii="宋体" w:hAnsi="宋体" w:cs="宋体"/>
                <w:color w:val="000000"/>
                <w:kern w:val="0"/>
                <w:sz w:val="20"/>
                <w:szCs w:val="20"/>
                <w:lang w:bidi="ar"/>
              </w:rPr>
              <w:t xml:space="preserve"> </w:t>
            </w:r>
          </w:p>
        </w:tc>
        <w:tc>
          <w:tcPr>
            <w:tcW w:w="1135" w:type="dxa"/>
            <w:vMerge w:val="continue"/>
            <w:noWrap w:val="0"/>
            <w:vAlign w:val="center"/>
          </w:tcPr>
          <w:p w14:paraId="1589ED09">
            <w:pPr>
              <w:tabs>
                <w:tab w:val="left" w:pos="900"/>
              </w:tabs>
              <w:snapToGrid w:val="0"/>
              <w:spacing w:before="60" w:after="120"/>
              <w:ind w:right="-24"/>
              <w:jc w:val="center"/>
              <w:rPr>
                <w:rFonts w:ascii="宋体" w:hAnsi="宋体"/>
                <w:color w:val="auto"/>
                <w:highlight w:val="none"/>
              </w:rPr>
            </w:pPr>
          </w:p>
        </w:tc>
        <w:tc>
          <w:tcPr>
            <w:tcW w:w="1714" w:type="dxa"/>
            <w:tcBorders>
              <w:top w:val="single" w:color="auto" w:sz="4" w:space="0"/>
            </w:tcBorders>
            <w:noWrap w:val="0"/>
            <w:vAlign w:val="top"/>
          </w:tcPr>
          <w:p w14:paraId="63ED9325">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45AC8E1E">
            <w:pPr>
              <w:tabs>
                <w:tab w:val="left" w:pos="900"/>
              </w:tabs>
              <w:snapToGrid w:val="0"/>
              <w:spacing w:before="60" w:after="120"/>
              <w:ind w:right="-24"/>
              <w:jc w:val="center"/>
              <w:rPr>
                <w:rFonts w:ascii="宋体" w:hAnsi="宋体"/>
                <w:color w:val="auto"/>
                <w:highlight w:val="none"/>
              </w:rPr>
            </w:pPr>
          </w:p>
        </w:tc>
      </w:tr>
      <w:tr w14:paraId="47E6D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926" w:type="dxa"/>
            <w:tcBorders>
              <w:top w:val="single" w:color="auto" w:sz="4" w:space="0"/>
              <w:bottom w:val="single" w:color="auto" w:sz="4" w:space="0"/>
            </w:tcBorders>
            <w:noWrap w:val="0"/>
            <w:vAlign w:val="center"/>
          </w:tcPr>
          <w:p w14:paraId="4E38C092">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2</w:t>
            </w:r>
          </w:p>
        </w:tc>
        <w:tc>
          <w:tcPr>
            <w:tcW w:w="2466" w:type="dxa"/>
            <w:tcBorders>
              <w:top w:val="single" w:color="auto" w:sz="4" w:space="0"/>
              <w:bottom w:val="single" w:color="auto" w:sz="4" w:space="0"/>
            </w:tcBorders>
            <w:noWrap w:val="0"/>
            <w:vAlign w:val="center"/>
          </w:tcPr>
          <w:p w14:paraId="57720A8D">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对侧松涛站110kV间隔扩建工程</w:t>
            </w:r>
          </w:p>
        </w:tc>
        <w:tc>
          <w:tcPr>
            <w:tcW w:w="1670" w:type="dxa"/>
            <w:noWrap w:val="0"/>
            <w:vAlign w:val="center"/>
          </w:tcPr>
          <w:p w14:paraId="42C9F644">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137</w:t>
            </w:r>
            <w:r>
              <w:rPr>
                <w:rFonts w:hint="eastAsia" w:ascii="宋体" w:hAnsi="宋体" w:cs="宋体"/>
                <w:color w:val="000000"/>
                <w:kern w:val="0"/>
                <w:sz w:val="20"/>
                <w:szCs w:val="20"/>
                <w:lang w:val="en-US" w:eastAsia="zh-CN" w:bidi="ar"/>
              </w:rPr>
              <w:t>00.00</w:t>
            </w:r>
            <w:r>
              <w:rPr>
                <w:rFonts w:hint="default" w:ascii="宋体" w:hAnsi="宋体" w:cs="宋体"/>
                <w:color w:val="000000"/>
                <w:kern w:val="0"/>
                <w:sz w:val="20"/>
                <w:szCs w:val="20"/>
                <w:lang w:bidi="ar"/>
              </w:rPr>
              <w:t xml:space="preserve"> </w:t>
            </w:r>
          </w:p>
        </w:tc>
        <w:tc>
          <w:tcPr>
            <w:tcW w:w="1135" w:type="dxa"/>
            <w:vMerge w:val="continue"/>
            <w:noWrap w:val="0"/>
            <w:vAlign w:val="center"/>
          </w:tcPr>
          <w:p w14:paraId="3C814586">
            <w:pPr>
              <w:tabs>
                <w:tab w:val="left" w:pos="900"/>
              </w:tabs>
              <w:snapToGrid w:val="0"/>
              <w:spacing w:before="60" w:after="120"/>
              <w:ind w:right="-24"/>
              <w:jc w:val="center"/>
              <w:rPr>
                <w:rFonts w:ascii="宋体" w:hAnsi="宋体"/>
                <w:color w:val="auto"/>
                <w:highlight w:val="none"/>
              </w:rPr>
            </w:pPr>
          </w:p>
        </w:tc>
        <w:tc>
          <w:tcPr>
            <w:tcW w:w="1714" w:type="dxa"/>
            <w:tcBorders>
              <w:top w:val="single" w:color="auto" w:sz="4" w:space="0"/>
            </w:tcBorders>
            <w:noWrap w:val="0"/>
            <w:vAlign w:val="top"/>
          </w:tcPr>
          <w:p w14:paraId="5EBAAF5C">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1A324854">
            <w:pPr>
              <w:tabs>
                <w:tab w:val="left" w:pos="900"/>
              </w:tabs>
              <w:snapToGrid w:val="0"/>
              <w:spacing w:before="60" w:after="120"/>
              <w:ind w:right="-24"/>
              <w:jc w:val="center"/>
              <w:rPr>
                <w:rFonts w:ascii="宋体" w:hAnsi="宋体"/>
                <w:color w:val="auto"/>
                <w:highlight w:val="none"/>
              </w:rPr>
            </w:pPr>
          </w:p>
        </w:tc>
      </w:tr>
      <w:tr w14:paraId="30CC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trPr>
        <w:tc>
          <w:tcPr>
            <w:tcW w:w="926" w:type="dxa"/>
            <w:tcBorders>
              <w:top w:val="single" w:color="auto" w:sz="4" w:space="0"/>
              <w:bottom w:val="single" w:color="auto" w:sz="4" w:space="0"/>
            </w:tcBorders>
            <w:noWrap w:val="0"/>
            <w:vAlign w:val="center"/>
          </w:tcPr>
          <w:p w14:paraId="1D65D1D7">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二</w:t>
            </w:r>
          </w:p>
        </w:tc>
        <w:tc>
          <w:tcPr>
            <w:tcW w:w="2466" w:type="dxa"/>
            <w:tcBorders>
              <w:top w:val="single" w:color="auto" w:sz="4" w:space="0"/>
              <w:bottom w:val="single" w:color="auto" w:sz="4" w:space="0"/>
            </w:tcBorders>
            <w:noWrap w:val="0"/>
            <w:vAlign w:val="center"/>
          </w:tcPr>
          <w:p w14:paraId="7312468D">
            <w:pPr>
              <w:widowControl/>
              <w:spacing w:beforeLines="0" w:afterLines="0"/>
              <w:jc w:val="left"/>
              <w:textAlignment w:val="center"/>
              <w:rPr>
                <w:rFonts w:hint="eastAsia"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110kV线路工程</w:t>
            </w:r>
          </w:p>
        </w:tc>
        <w:tc>
          <w:tcPr>
            <w:tcW w:w="1670" w:type="dxa"/>
            <w:noWrap w:val="0"/>
            <w:vAlign w:val="center"/>
          </w:tcPr>
          <w:p w14:paraId="399D728A">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4386</w:t>
            </w:r>
            <w:r>
              <w:rPr>
                <w:rFonts w:hint="eastAsia" w:ascii="宋体" w:hAnsi="宋体" w:cs="宋体"/>
                <w:b/>
                <w:color w:val="000000"/>
                <w:kern w:val="0"/>
                <w:sz w:val="20"/>
                <w:szCs w:val="20"/>
                <w:lang w:val="en-US" w:eastAsia="zh-CN" w:bidi="ar"/>
              </w:rPr>
              <w:t>00.00</w:t>
            </w:r>
            <w:r>
              <w:rPr>
                <w:rFonts w:hint="default" w:ascii="宋体" w:hAnsi="宋体" w:cs="宋体"/>
                <w:b/>
                <w:color w:val="000000"/>
                <w:kern w:val="0"/>
                <w:sz w:val="20"/>
                <w:szCs w:val="20"/>
                <w:lang w:bidi="ar"/>
              </w:rPr>
              <w:t xml:space="preserve"> </w:t>
            </w:r>
          </w:p>
        </w:tc>
        <w:tc>
          <w:tcPr>
            <w:tcW w:w="1135" w:type="dxa"/>
            <w:vMerge w:val="continue"/>
            <w:noWrap w:val="0"/>
            <w:vAlign w:val="center"/>
          </w:tcPr>
          <w:p w14:paraId="0FB61ED8">
            <w:pPr>
              <w:tabs>
                <w:tab w:val="left" w:pos="900"/>
              </w:tabs>
              <w:snapToGrid w:val="0"/>
              <w:spacing w:before="60" w:after="120"/>
              <w:ind w:right="-24"/>
              <w:jc w:val="center"/>
              <w:rPr>
                <w:rFonts w:ascii="宋体" w:hAnsi="宋体"/>
                <w:color w:val="auto"/>
                <w:highlight w:val="none"/>
              </w:rPr>
            </w:pPr>
          </w:p>
        </w:tc>
        <w:tc>
          <w:tcPr>
            <w:tcW w:w="1714" w:type="dxa"/>
            <w:tcBorders>
              <w:top w:val="single" w:color="auto" w:sz="4" w:space="0"/>
            </w:tcBorders>
            <w:noWrap w:val="0"/>
            <w:vAlign w:val="top"/>
          </w:tcPr>
          <w:p w14:paraId="16153C4D">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03DB0C76">
            <w:pPr>
              <w:tabs>
                <w:tab w:val="left" w:pos="900"/>
              </w:tabs>
              <w:snapToGrid w:val="0"/>
              <w:spacing w:before="60" w:after="120"/>
              <w:ind w:right="-24"/>
              <w:jc w:val="center"/>
              <w:rPr>
                <w:rFonts w:ascii="宋体" w:hAnsi="宋体"/>
                <w:color w:val="auto"/>
                <w:highlight w:val="none"/>
              </w:rPr>
            </w:pPr>
          </w:p>
        </w:tc>
      </w:tr>
      <w:tr w14:paraId="3B62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926" w:type="dxa"/>
            <w:tcBorders>
              <w:top w:val="single" w:color="auto" w:sz="4" w:space="0"/>
              <w:bottom w:val="single" w:color="auto" w:sz="4" w:space="0"/>
            </w:tcBorders>
            <w:noWrap w:val="0"/>
            <w:vAlign w:val="center"/>
          </w:tcPr>
          <w:p w14:paraId="3A6E9576">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 xml:space="preserve">1 </w:t>
            </w:r>
          </w:p>
        </w:tc>
        <w:tc>
          <w:tcPr>
            <w:tcW w:w="2466" w:type="dxa"/>
            <w:tcBorders>
              <w:top w:val="single" w:color="auto" w:sz="4" w:space="0"/>
              <w:bottom w:val="single" w:color="auto" w:sz="4" w:space="0"/>
            </w:tcBorders>
            <w:noWrap w:val="0"/>
            <w:vAlign w:val="center"/>
          </w:tcPr>
          <w:p w14:paraId="47D64722">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110kV松涛至礼村电缆线路工程</w:t>
            </w:r>
          </w:p>
        </w:tc>
        <w:tc>
          <w:tcPr>
            <w:tcW w:w="1670" w:type="dxa"/>
            <w:noWrap w:val="0"/>
            <w:vAlign w:val="center"/>
          </w:tcPr>
          <w:p w14:paraId="3A4F1EC5">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1807</w:t>
            </w:r>
            <w:r>
              <w:rPr>
                <w:rFonts w:hint="eastAsia" w:ascii="宋体" w:hAnsi="宋体" w:cs="宋体"/>
                <w:color w:val="000000"/>
                <w:kern w:val="0"/>
                <w:sz w:val="20"/>
                <w:szCs w:val="20"/>
                <w:lang w:val="en-US" w:eastAsia="zh-CN" w:bidi="ar"/>
              </w:rPr>
              <w:t>00.00</w:t>
            </w:r>
            <w:r>
              <w:rPr>
                <w:rFonts w:hint="default" w:ascii="宋体" w:hAnsi="宋体" w:cs="宋体"/>
                <w:color w:val="000000"/>
                <w:kern w:val="0"/>
                <w:sz w:val="20"/>
                <w:szCs w:val="20"/>
                <w:lang w:bidi="ar"/>
              </w:rPr>
              <w:t xml:space="preserve"> </w:t>
            </w:r>
          </w:p>
        </w:tc>
        <w:tc>
          <w:tcPr>
            <w:tcW w:w="1135" w:type="dxa"/>
            <w:vMerge w:val="continue"/>
            <w:noWrap w:val="0"/>
            <w:vAlign w:val="center"/>
          </w:tcPr>
          <w:p w14:paraId="3AC704A1">
            <w:pPr>
              <w:tabs>
                <w:tab w:val="left" w:pos="900"/>
              </w:tabs>
              <w:snapToGrid w:val="0"/>
              <w:spacing w:before="60" w:after="120"/>
              <w:ind w:right="-24"/>
              <w:jc w:val="center"/>
              <w:rPr>
                <w:rFonts w:ascii="宋体" w:hAnsi="宋体"/>
                <w:color w:val="auto"/>
                <w:highlight w:val="none"/>
              </w:rPr>
            </w:pPr>
          </w:p>
        </w:tc>
        <w:tc>
          <w:tcPr>
            <w:tcW w:w="1714" w:type="dxa"/>
            <w:tcBorders>
              <w:top w:val="single" w:color="auto" w:sz="4" w:space="0"/>
            </w:tcBorders>
            <w:noWrap w:val="0"/>
            <w:vAlign w:val="top"/>
          </w:tcPr>
          <w:p w14:paraId="1A7013E8">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689C3BBF">
            <w:pPr>
              <w:tabs>
                <w:tab w:val="left" w:pos="900"/>
              </w:tabs>
              <w:snapToGrid w:val="0"/>
              <w:spacing w:before="60" w:after="120"/>
              <w:ind w:right="-24"/>
              <w:jc w:val="center"/>
              <w:rPr>
                <w:rFonts w:ascii="宋体" w:hAnsi="宋体"/>
                <w:color w:val="auto"/>
                <w:highlight w:val="none"/>
              </w:rPr>
            </w:pPr>
          </w:p>
        </w:tc>
      </w:tr>
      <w:tr w14:paraId="02B08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5" w:hRule="atLeast"/>
        </w:trPr>
        <w:tc>
          <w:tcPr>
            <w:tcW w:w="926" w:type="dxa"/>
            <w:tcBorders>
              <w:top w:val="single" w:color="auto" w:sz="4" w:space="0"/>
              <w:bottom w:val="single" w:color="auto" w:sz="4" w:space="0"/>
            </w:tcBorders>
            <w:noWrap w:val="0"/>
            <w:vAlign w:val="center"/>
          </w:tcPr>
          <w:p w14:paraId="5CEA7C90">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 xml:space="preserve">2 </w:t>
            </w:r>
          </w:p>
        </w:tc>
        <w:tc>
          <w:tcPr>
            <w:tcW w:w="2466" w:type="dxa"/>
            <w:tcBorders>
              <w:top w:val="single" w:color="auto" w:sz="4" w:space="0"/>
              <w:bottom w:val="single" w:color="auto" w:sz="4" w:space="0"/>
            </w:tcBorders>
            <w:noWrap w:val="0"/>
            <w:vAlign w:val="center"/>
          </w:tcPr>
          <w:p w14:paraId="7D4B6942">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110kV礼村Ⅱ（植村）1回T接110kV松涛至礼村电缆线路工程</w:t>
            </w:r>
          </w:p>
        </w:tc>
        <w:tc>
          <w:tcPr>
            <w:tcW w:w="1670" w:type="dxa"/>
            <w:noWrap w:val="0"/>
            <w:vAlign w:val="center"/>
          </w:tcPr>
          <w:p w14:paraId="2898A613">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2302</w:t>
            </w:r>
            <w:r>
              <w:rPr>
                <w:rFonts w:hint="eastAsia" w:ascii="宋体" w:hAnsi="宋体" w:cs="宋体"/>
                <w:color w:val="000000"/>
                <w:kern w:val="0"/>
                <w:sz w:val="20"/>
                <w:szCs w:val="20"/>
                <w:lang w:val="en-US" w:eastAsia="zh-CN" w:bidi="ar"/>
              </w:rPr>
              <w:t>00.00</w:t>
            </w:r>
            <w:r>
              <w:rPr>
                <w:rFonts w:hint="default" w:ascii="宋体" w:hAnsi="宋体" w:cs="宋体"/>
                <w:color w:val="000000"/>
                <w:kern w:val="0"/>
                <w:sz w:val="20"/>
                <w:szCs w:val="20"/>
                <w:lang w:bidi="ar"/>
              </w:rPr>
              <w:t xml:space="preserve"> </w:t>
            </w:r>
          </w:p>
        </w:tc>
        <w:tc>
          <w:tcPr>
            <w:tcW w:w="1135" w:type="dxa"/>
            <w:vMerge w:val="continue"/>
            <w:noWrap w:val="0"/>
            <w:vAlign w:val="center"/>
          </w:tcPr>
          <w:p w14:paraId="1F7E6362">
            <w:pPr>
              <w:tabs>
                <w:tab w:val="left" w:pos="900"/>
              </w:tabs>
              <w:snapToGrid w:val="0"/>
              <w:spacing w:before="60" w:after="120"/>
              <w:ind w:right="-24"/>
              <w:jc w:val="center"/>
              <w:rPr>
                <w:rFonts w:ascii="宋体" w:hAnsi="宋体"/>
                <w:color w:val="auto"/>
                <w:highlight w:val="none"/>
              </w:rPr>
            </w:pPr>
          </w:p>
        </w:tc>
        <w:tc>
          <w:tcPr>
            <w:tcW w:w="1714" w:type="dxa"/>
            <w:tcBorders>
              <w:top w:val="single" w:color="auto" w:sz="4" w:space="0"/>
            </w:tcBorders>
            <w:noWrap w:val="0"/>
            <w:vAlign w:val="top"/>
          </w:tcPr>
          <w:p w14:paraId="54FE9560">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7BAC0244">
            <w:pPr>
              <w:tabs>
                <w:tab w:val="left" w:pos="900"/>
              </w:tabs>
              <w:snapToGrid w:val="0"/>
              <w:spacing w:before="60" w:after="120"/>
              <w:ind w:right="-24"/>
              <w:jc w:val="center"/>
              <w:rPr>
                <w:rFonts w:ascii="宋体" w:hAnsi="宋体"/>
                <w:color w:val="auto"/>
                <w:highlight w:val="none"/>
              </w:rPr>
            </w:pPr>
          </w:p>
        </w:tc>
      </w:tr>
      <w:tr w14:paraId="4FBB3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5" w:hRule="atLeast"/>
        </w:trPr>
        <w:tc>
          <w:tcPr>
            <w:tcW w:w="926" w:type="dxa"/>
            <w:tcBorders>
              <w:top w:val="single" w:color="auto" w:sz="4" w:space="0"/>
              <w:bottom w:val="single" w:color="auto" w:sz="4" w:space="0"/>
            </w:tcBorders>
            <w:noWrap w:val="0"/>
            <w:vAlign w:val="center"/>
          </w:tcPr>
          <w:p w14:paraId="154564FA">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 xml:space="preserve">3 </w:t>
            </w:r>
          </w:p>
        </w:tc>
        <w:tc>
          <w:tcPr>
            <w:tcW w:w="2466" w:type="dxa"/>
            <w:tcBorders>
              <w:top w:val="single" w:color="auto" w:sz="4" w:space="0"/>
              <w:bottom w:val="single" w:color="auto" w:sz="4" w:space="0"/>
            </w:tcBorders>
            <w:noWrap w:val="0"/>
            <w:vAlign w:val="center"/>
          </w:tcPr>
          <w:p w14:paraId="52FF9FA6">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110kV礼村Ⅱ（植村）1回T接110kV聚飘线电缆线路工程</w:t>
            </w:r>
          </w:p>
        </w:tc>
        <w:tc>
          <w:tcPr>
            <w:tcW w:w="1670" w:type="dxa"/>
            <w:noWrap w:val="0"/>
            <w:vAlign w:val="center"/>
          </w:tcPr>
          <w:p w14:paraId="6AF38E16">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205</w:t>
            </w:r>
            <w:r>
              <w:rPr>
                <w:rFonts w:hint="eastAsia" w:ascii="宋体" w:hAnsi="宋体" w:cs="宋体"/>
                <w:color w:val="000000"/>
                <w:kern w:val="0"/>
                <w:sz w:val="20"/>
                <w:szCs w:val="20"/>
                <w:lang w:val="en-US" w:eastAsia="zh-CN" w:bidi="ar"/>
              </w:rPr>
              <w:t>00.00</w:t>
            </w:r>
            <w:r>
              <w:rPr>
                <w:rFonts w:hint="default" w:ascii="宋体" w:hAnsi="宋体" w:cs="宋体"/>
                <w:color w:val="000000"/>
                <w:kern w:val="0"/>
                <w:sz w:val="20"/>
                <w:szCs w:val="20"/>
                <w:lang w:bidi="ar"/>
              </w:rPr>
              <w:t xml:space="preserve"> </w:t>
            </w:r>
          </w:p>
        </w:tc>
        <w:tc>
          <w:tcPr>
            <w:tcW w:w="1135" w:type="dxa"/>
            <w:vMerge w:val="continue"/>
            <w:noWrap w:val="0"/>
            <w:vAlign w:val="center"/>
          </w:tcPr>
          <w:p w14:paraId="588662E3">
            <w:pPr>
              <w:tabs>
                <w:tab w:val="left" w:pos="900"/>
              </w:tabs>
              <w:snapToGrid w:val="0"/>
              <w:spacing w:before="60" w:after="120"/>
              <w:ind w:right="-24"/>
              <w:jc w:val="center"/>
              <w:rPr>
                <w:rFonts w:ascii="宋体" w:hAnsi="宋体"/>
                <w:color w:val="auto"/>
                <w:highlight w:val="none"/>
              </w:rPr>
            </w:pPr>
          </w:p>
        </w:tc>
        <w:tc>
          <w:tcPr>
            <w:tcW w:w="1714" w:type="dxa"/>
            <w:tcBorders>
              <w:top w:val="single" w:color="auto" w:sz="4" w:space="0"/>
            </w:tcBorders>
            <w:noWrap w:val="0"/>
            <w:vAlign w:val="top"/>
          </w:tcPr>
          <w:p w14:paraId="127BB610">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7F90F295">
            <w:pPr>
              <w:tabs>
                <w:tab w:val="left" w:pos="900"/>
              </w:tabs>
              <w:snapToGrid w:val="0"/>
              <w:spacing w:before="60" w:after="120"/>
              <w:ind w:right="-24"/>
              <w:jc w:val="center"/>
              <w:rPr>
                <w:rFonts w:ascii="宋体" w:hAnsi="宋体"/>
                <w:color w:val="auto"/>
                <w:highlight w:val="none"/>
              </w:rPr>
            </w:pPr>
          </w:p>
        </w:tc>
      </w:tr>
      <w:tr w14:paraId="1C97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926" w:type="dxa"/>
            <w:tcBorders>
              <w:top w:val="single" w:color="auto" w:sz="4" w:space="0"/>
              <w:bottom w:val="single" w:color="auto" w:sz="4" w:space="0"/>
            </w:tcBorders>
            <w:noWrap w:val="0"/>
            <w:vAlign w:val="center"/>
          </w:tcPr>
          <w:p w14:paraId="76A9D2E0">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 xml:space="preserve">4 </w:t>
            </w:r>
          </w:p>
        </w:tc>
        <w:tc>
          <w:tcPr>
            <w:tcW w:w="2466" w:type="dxa"/>
            <w:tcBorders>
              <w:top w:val="single" w:color="auto" w:sz="4" w:space="0"/>
              <w:bottom w:val="single" w:color="auto" w:sz="4" w:space="0"/>
            </w:tcBorders>
            <w:noWrap w:val="0"/>
            <w:vAlign w:val="center"/>
          </w:tcPr>
          <w:p w14:paraId="28AF3326">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南浦站#3变改为T接松涛至礼村电缆线路工程</w:t>
            </w:r>
          </w:p>
        </w:tc>
        <w:tc>
          <w:tcPr>
            <w:tcW w:w="1670" w:type="dxa"/>
            <w:noWrap w:val="0"/>
            <w:vAlign w:val="center"/>
          </w:tcPr>
          <w:p w14:paraId="7D7DB591">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72</w:t>
            </w:r>
            <w:r>
              <w:rPr>
                <w:rFonts w:hint="eastAsia" w:ascii="宋体" w:hAnsi="宋体" w:cs="宋体"/>
                <w:color w:val="000000"/>
                <w:kern w:val="0"/>
                <w:sz w:val="20"/>
                <w:szCs w:val="20"/>
                <w:lang w:val="en-US" w:eastAsia="zh-CN" w:bidi="ar"/>
              </w:rPr>
              <w:t>00.00</w:t>
            </w:r>
            <w:r>
              <w:rPr>
                <w:rFonts w:hint="default" w:ascii="宋体" w:hAnsi="宋体" w:cs="宋体"/>
                <w:color w:val="000000"/>
                <w:kern w:val="0"/>
                <w:sz w:val="20"/>
                <w:szCs w:val="20"/>
                <w:lang w:bidi="ar"/>
              </w:rPr>
              <w:t xml:space="preserve"> </w:t>
            </w:r>
          </w:p>
        </w:tc>
        <w:tc>
          <w:tcPr>
            <w:tcW w:w="1135" w:type="dxa"/>
            <w:vMerge w:val="continue"/>
            <w:noWrap w:val="0"/>
            <w:vAlign w:val="center"/>
          </w:tcPr>
          <w:p w14:paraId="14AB6D3F">
            <w:pPr>
              <w:tabs>
                <w:tab w:val="left" w:pos="900"/>
              </w:tabs>
              <w:snapToGrid w:val="0"/>
              <w:spacing w:before="60" w:after="120"/>
              <w:ind w:right="-24"/>
              <w:jc w:val="center"/>
              <w:rPr>
                <w:rFonts w:ascii="宋体" w:hAnsi="宋体"/>
                <w:color w:val="auto"/>
                <w:highlight w:val="none"/>
              </w:rPr>
            </w:pPr>
          </w:p>
        </w:tc>
        <w:tc>
          <w:tcPr>
            <w:tcW w:w="1714" w:type="dxa"/>
            <w:tcBorders>
              <w:top w:val="single" w:color="auto" w:sz="4" w:space="0"/>
            </w:tcBorders>
            <w:noWrap w:val="0"/>
            <w:vAlign w:val="top"/>
          </w:tcPr>
          <w:p w14:paraId="70E9683D">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6B9DCBD0">
            <w:pPr>
              <w:tabs>
                <w:tab w:val="left" w:pos="900"/>
              </w:tabs>
              <w:snapToGrid w:val="0"/>
              <w:spacing w:before="60" w:after="120"/>
              <w:ind w:right="-24"/>
              <w:jc w:val="center"/>
              <w:rPr>
                <w:rFonts w:ascii="宋体" w:hAnsi="宋体"/>
                <w:color w:val="auto"/>
                <w:highlight w:val="none"/>
              </w:rPr>
            </w:pPr>
          </w:p>
        </w:tc>
      </w:tr>
      <w:tr w14:paraId="0E3EC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trPr>
        <w:tc>
          <w:tcPr>
            <w:tcW w:w="926" w:type="dxa"/>
            <w:tcBorders>
              <w:top w:val="single" w:color="auto" w:sz="4" w:space="0"/>
              <w:bottom w:val="single" w:color="auto" w:sz="4" w:space="0"/>
            </w:tcBorders>
            <w:noWrap w:val="0"/>
            <w:vAlign w:val="center"/>
          </w:tcPr>
          <w:p w14:paraId="25D0E310">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三</w:t>
            </w:r>
          </w:p>
        </w:tc>
        <w:tc>
          <w:tcPr>
            <w:tcW w:w="2466" w:type="dxa"/>
            <w:tcBorders>
              <w:top w:val="single" w:color="auto" w:sz="4" w:space="0"/>
              <w:bottom w:val="single" w:color="auto" w:sz="4" w:space="0"/>
            </w:tcBorders>
            <w:noWrap w:val="0"/>
            <w:vAlign w:val="center"/>
          </w:tcPr>
          <w:p w14:paraId="56A23642">
            <w:pPr>
              <w:widowControl/>
              <w:spacing w:beforeLines="0" w:afterLines="0"/>
              <w:jc w:val="left"/>
              <w:textAlignment w:val="center"/>
              <w:rPr>
                <w:rFonts w:hint="eastAsia"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配套通信工程</w:t>
            </w:r>
          </w:p>
        </w:tc>
        <w:tc>
          <w:tcPr>
            <w:tcW w:w="1670" w:type="dxa"/>
            <w:noWrap w:val="0"/>
            <w:vAlign w:val="center"/>
          </w:tcPr>
          <w:p w14:paraId="68D0459C">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188</w:t>
            </w:r>
            <w:r>
              <w:rPr>
                <w:rFonts w:hint="eastAsia" w:ascii="宋体" w:hAnsi="宋体" w:cs="宋体"/>
                <w:b/>
                <w:color w:val="000000"/>
                <w:kern w:val="0"/>
                <w:sz w:val="20"/>
                <w:szCs w:val="20"/>
                <w:lang w:val="en-US" w:eastAsia="zh-CN" w:bidi="ar"/>
              </w:rPr>
              <w:t>00.00</w:t>
            </w:r>
            <w:r>
              <w:rPr>
                <w:rFonts w:hint="default" w:ascii="宋体" w:hAnsi="宋体" w:cs="宋体"/>
                <w:b/>
                <w:color w:val="000000"/>
                <w:kern w:val="0"/>
                <w:sz w:val="20"/>
                <w:szCs w:val="20"/>
                <w:lang w:bidi="ar"/>
              </w:rPr>
              <w:t xml:space="preserve"> </w:t>
            </w:r>
          </w:p>
        </w:tc>
        <w:tc>
          <w:tcPr>
            <w:tcW w:w="1135" w:type="dxa"/>
            <w:vMerge w:val="continue"/>
            <w:noWrap w:val="0"/>
            <w:vAlign w:val="center"/>
          </w:tcPr>
          <w:p w14:paraId="53A825CB">
            <w:pPr>
              <w:tabs>
                <w:tab w:val="left" w:pos="900"/>
              </w:tabs>
              <w:snapToGrid w:val="0"/>
              <w:spacing w:before="60" w:after="120"/>
              <w:ind w:right="-24"/>
              <w:jc w:val="center"/>
              <w:rPr>
                <w:rFonts w:ascii="宋体" w:hAnsi="宋体"/>
                <w:color w:val="auto"/>
                <w:highlight w:val="none"/>
              </w:rPr>
            </w:pPr>
          </w:p>
        </w:tc>
        <w:tc>
          <w:tcPr>
            <w:tcW w:w="1714" w:type="dxa"/>
            <w:tcBorders>
              <w:top w:val="single" w:color="auto" w:sz="4" w:space="0"/>
            </w:tcBorders>
            <w:noWrap w:val="0"/>
            <w:vAlign w:val="top"/>
          </w:tcPr>
          <w:p w14:paraId="1CC7449A">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0DDA38BC">
            <w:pPr>
              <w:tabs>
                <w:tab w:val="left" w:pos="900"/>
              </w:tabs>
              <w:snapToGrid w:val="0"/>
              <w:spacing w:before="60" w:after="120"/>
              <w:ind w:right="-24"/>
              <w:jc w:val="center"/>
              <w:rPr>
                <w:rFonts w:ascii="宋体" w:hAnsi="宋体"/>
                <w:color w:val="auto"/>
                <w:highlight w:val="none"/>
              </w:rPr>
            </w:pPr>
          </w:p>
        </w:tc>
      </w:tr>
      <w:tr w14:paraId="12DB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926" w:type="dxa"/>
            <w:tcBorders>
              <w:top w:val="single" w:color="auto" w:sz="4" w:space="0"/>
              <w:bottom w:val="single" w:color="auto" w:sz="4" w:space="0"/>
            </w:tcBorders>
            <w:noWrap w:val="0"/>
            <w:vAlign w:val="center"/>
          </w:tcPr>
          <w:p w14:paraId="7C2EA70B">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 xml:space="preserve">1 </w:t>
            </w:r>
          </w:p>
        </w:tc>
        <w:tc>
          <w:tcPr>
            <w:tcW w:w="2466" w:type="dxa"/>
            <w:tcBorders>
              <w:top w:val="single" w:color="auto" w:sz="4" w:space="0"/>
              <w:bottom w:val="single" w:color="auto" w:sz="4" w:space="0"/>
            </w:tcBorders>
            <w:noWrap w:val="0"/>
            <w:vAlign w:val="center"/>
          </w:tcPr>
          <w:p w14:paraId="0DD89265">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110kV礼村Ⅱ（植村）变电站通信设备工程</w:t>
            </w:r>
          </w:p>
        </w:tc>
        <w:tc>
          <w:tcPr>
            <w:tcW w:w="1670" w:type="dxa"/>
            <w:noWrap w:val="0"/>
            <w:vAlign w:val="center"/>
          </w:tcPr>
          <w:p w14:paraId="772F69B7">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188</w:t>
            </w:r>
            <w:r>
              <w:rPr>
                <w:rFonts w:hint="eastAsia" w:ascii="宋体" w:hAnsi="宋体" w:cs="宋体"/>
                <w:color w:val="000000"/>
                <w:kern w:val="0"/>
                <w:sz w:val="20"/>
                <w:szCs w:val="20"/>
                <w:lang w:val="en-US" w:eastAsia="zh-CN" w:bidi="ar"/>
              </w:rPr>
              <w:t>00.00</w:t>
            </w:r>
            <w:r>
              <w:rPr>
                <w:rFonts w:hint="default" w:ascii="宋体" w:hAnsi="宋体" w:cs="宋体"/>
                <w:color w:val="000000"/>
                <w:kern w:val="0"/>
                <w:sz w:val="20"/>
                <w:szCs w:val="20"/>
                <w:lang w:bidi="ar"/>
              </w:rPr>
              <w:t xml:space="preserve"> </w:t>
            </w:r>
          </w:p>
        </w:tc>
        <w:tc>
          <w:tcPr>
            <w:tcW w:w="1135" w:type="dxa"/>
            <w:vMerge w:val="continue"/>
            <w:noWrap w:val="0"/>
            <w:vAlign w:val="center"/>
          </w:tcPr>
          <w:p w14:paraId="1170A4BA">
            <w:pPr>
              <w:tabs>
                <w:tab w:val="left" w:pos="900"/>
              </w:tabs>
              <w:snapToGrid w:val="0"/>
              <w:spacing w:before="60" w:after="120"/>
              <w:ind w:right="-24"/>
              <w:jc w:val="center"/>
              <w:rPr>
                <w:rFonts w:ascii="宋体" w:hAnsi="宋体"/>
                <w:color w:val="auto"/>
                <w:highlight w:val="none"/>
              </w:rPr>
            </w:pPr>
          </w:p>
        </w:tc>
        <w:tc>
          <w:tcPr>
            <w:tcW w:w="1714" w:type="dxa"/>
            <w:noWrap w:val="0"/>
            <w:vAlign w:val="top"/>
          </w:tcPr>
          <w:p w14:paraId="6D47D1F3">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401E7AEE">
            <w:pPr>
              <w:tabs>
                <w:tab w:val="left" w:pos="900"/>
              </w:tabs>
              <w:snapToGrid w:val="0"/>
              <w:spacing w:before="60" w:after="120"/>
              <w:ind w:right="-24"/>
              <w:jc w:val="center"/>
              <w:rPr>
                <w:rFonts w:ascii="宋体" w:hAnsi="宋体"/>
                <w:color w:val="auto"/>
                <w:highlight w:val="none"/>
              </w:rPr>
            </w:pPr>
          </w:p>
        </w:tc>
      </w:tr>
      <w:tr w14:paraId="5A320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926" w:type="dxa"/>
            <w:tcBorders>
              <w:top w:val="single" w:color="auto" w:sz="4" w:space="0"/>
              <w:bottom w:val="single" w:color="auto" w:sz="4" w:space="0"/>
            </w:tcBorders>
            <w:noWrap w:val="0"/>
            <w:vAlign w:val="center"/>
          </w:tcPr>
          <w:p w14:paraId="51BF9B0F">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 xml:space="preserve">2 </w:t>
            </w:r>
          </w:p>
        </w:tc>
        <w:tc>
          <w:tcPr>
            <w:tcW w:w="2466" w:type="dxa"/>
            <w:tcBorders>
              <w:top w:val="single" w:color="auto" w:sz="4" w:space="0"/>
              <w:bottom w:val="single" w:color="auto" w:sz="4" w:space="0"/>
            </w:tcBorders>
            <w:noWrap w:val="0"/>
            <w:vAlign w:val="center"/>
          </w:tcPr>
          <w:p w14:paraId="6E5694B5">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110kV松涛至礼村通信光缆工程</w:t>
            </w:r>
          </w:p>
        </w:tc>
        <w:tc>
          <w:tcPr>
            <w:tcW w:w="1670" w:type="dxa"/>
            <w:noWrap w:val="0"/>
            <w:vAlign w:val="center"/>
          </w:tcPr>
          <w:p w14:paraId="4BBF8085">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0</w:t>
            </w:r>
            <w:r>
              <w:rPr>
                <w:rFonts w:hint="eastAsia" w:ascii="宋体" w:hAnsi="宋体" w:cs="宋体"/>
                <w:color w:val="000000"/>
                <w:kern w:val="0"/>
                <w:sz w:val="20"/>
                <w:szCs w:val="20"/>
                <w:lang w:val="en-US" w:eastAsia="zh-CN" w:bidi="ar"/>
              </w:rPr>
              <w:t>.00</w:t>
            </w:r>
            <w:r>
              <w:rPr>
                <w:rFonts w:hint="default" w:ascii="宋体" w:hAnsi="宋体" w:cs="宋体"/>
                <w:color w:val="000000"/>
                <w:kern w:val="0"/>
                <w:sz w:val="20"/>
                <w:szCs w:val="20"/>
                <w:lang w:bidi="ar"/>
              </w:rPr>
              <w:t xml:space="preserve"> </w:t>
            </w:r>
          </w:p>
        </w:tc>
        <w:tc>
          <w:tcPr>
            <w:tcW w:w="1135" w:type="dxa"/>
            <w:vMerge w:val="continue"/>
            <w:noWrap w:val="0"/>
            <w:vAlign w:val="center"/>
          </w:tcPr>
          <w:p w14:paraId="37250A44">
            <w:pPr>
              <w:tabs>
                <w:tab w:val="left" w:pos="900"/>
              </w:tabs>
              <w:snapToGrid w:val="0"/>
              <w:spacing w:before="60" w:after="120"/>
              <w:ind w:right="-24"/>
              <w:jc w:val="center"/>
              <w:rPr>
                <w:rFonts w:ascii="宋体" w:hAnsi="宋体"/>
                <w:color w:val="auto"/>
                <w:highlight w:val="none"/>
              </w:rPr>
            </w:pPr>
          </w:p>
        </w:tc>
        <w:tc>
          <w:tcPr>
            <w:tcW w:w="1714" w:type="dxa"/>
            <w:noWrap w:val="0"/>
            <w:vAlign w:val="top"/>
          </w:tcPr>
          <w:p w14:paraId="1EBB96B6">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0D0A89CA">
            <w:pPr>
              <w:tabs>
                <w:tab w:val="left" w:pos="900"/>
              </w:tabs>
              <w:snapToGrid w:val="0"/>
              <w:spacing w:before="60" w:after="120"/>
              <w:ind w:right="-24"/>
              <w:jc w:val="center"/>
              <w:rPr>
                <w:rFonts w:ascii="宋体" w:hAnsi="宋体"/>
                <w:color w:val="auto"/>
                <w:highlight w:val="none"/>
              </w:rPr>
            </w:pPr>
          </w:p>
        </w:tc>
      </w:tr>
      <w:tr w14:paraId="563C6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5" w:hRule="atLeast"/>
        </w:trPr>
        <w:tc>
          <w:tcPr>
            <w:tcW w:w="926" w:type="dxa"/>
            <w:tcBorders>
              <w:top w:val="single" w:color="auto" w:sz="4" w:space="0"/>
              <w:bottom w:val="single" w:color="auto" w:sz="4" w:space="0"/>
            </w:tcBorders>
            <w:noWrap w:val="0"/>
            <w:vAlign w:val="center"/>
          </w:tcPr>
          <w:p w14:paraId="7B418716">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 xml:space="preserve">3 </w:t>
            </w:r>
          </w:p>
        </w:tc>
        <w:tc>
          <w:tcPr>
            <w:tcW w:w="2466" w:type="dxa"/>
            <w:tcBorders>
              <w:top w:val="single" w:color="auto" w:sz="4" w:space="0"/>
              <w:bottom w:val="single" w:color="auto" w:sz="4" w:space="0"/>
            </w:tcBorders>
            <w:noWrap w:val="0"/>
            <w:vAlign w:val="center"/>
          </w:tcPr>
          <w:p w14:paraId="4E523E2A">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110kV植村1回T接110kV松涛至礼村通信光缆工程</w:t>
            </w:r>
          </w:p>
        </w:tc>
        <w:tc>
          <w:tcPr>
            <w:tcW w:w="1670" w:type="dxa"/>
            <w:noWrap w:val="0"/>
            <w:vAlign w:val="center"/>
          </w:tcPr>
          <w:p w14:paraId="032DFF53">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0</w:t>
            </w:r>
            <w:r>
              <w:rPr>
                <w:rFonts w:hint="eastAsia" w:ascii="宋体" w:hAnsi="宋体" w:cs="宋体"/>
                <w:color w:val="000000"/>
                <w:kern w:val="0"/>
                <w:sz w:val="20"/>
                <w:szCs w:val="20"/>
                <w:lang w:val="en-US" w:eastAsia="zh-CN" w:bidi="ar"/>
              </w:rPr>
              <w:t>.00</w:t>
            </w:r>
            <w:r>
              <w:rPr>
                <w:rFonts w:hint="default" w:ascii="宋体" w:hAnsi="宋体" w:cs="宋体"/>
                <w:color w:val="000000"/>
                <w:kern w:val="0"/>
                <w:sz w:val="20"/>
                <w:szCs w:val="20"/>
                <w:lang w:bidi="ar"/>
              </w:rPr>
              <w:t xml:space="preserve"> </w:t>
            </w:r>
          </w:p>
        </w:tc>
        <w:tc>
          <w:tcPr>
            <w:tcW w:w="1135" w:type="dxa"/>
            <w:vMerge w:val="continue"/>
            <w:noWrap w:val="0"/>
            <w:vAlign w:val="center"/>
          </w:tcPr>
          <w:p w14:paraId="4C5461F5">
            <w:pPr>
              <w:tabs>
                <w:tab w:val="left" w:pos="900"/>
              </w:tabs>
              <w:snapToGrid w:val="0"/>
              <w:spacing w:before="60" w:after="120"/>
              <w:ind w:right="-24"/>
              <w:jc w:val="center"/>
              <w:rPr>
                <w:rFonts w:ascii="宋体" w:hAnsi="宋体"/>
                <w:color w:val="auto"/>
                <w:highlight w:val="none"/>
              </w:rPr>
            </w:pPr>
          </w:p>
        </w:tc>
        <w:tc>
          <w:tcPr>
            <w:tcW w:w="1714" w:type="dxa"/>
            <w:noWrap w:val="0"/>
            <w:vAlign w:val="top"/>
          </w:tcPr>
          <w:p w14:paraId="3D6DCCB8">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1E231CF7">
            <w:pPr>
              <w:tabs>
                <w:tab w:val="left" w:pos="900"/>
              </w:tabs>
              <w:snapToGrid w:val="0"/>
              <w:spacing w:before="60" w:after="120"/>
              <w:ind w:right="-24"/>
              <w:jc w:val="center"/>
              <w:rPr>
                <w:rFonts w:ascii="宋体" w:hAnsi="宋体"/>
                <w:color w:val="auto"/>
                <w:highlight w:val="none"/>
              </w:rPr>
            </w:pPr>
          </w:p>
        </w:tc>
      </w:tr>
      <w:tr w14:paraId="306F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5" w:hRule="atLeast"/>
        </w:trPr>
        <w:tc>
          <w:tcPr>
            <w:tcW w:w="926" w:type="dxa"/>
            <w:tcBorders>
              <w:top w:val="single" w:color="auto" w:sz="4" w:space="0"/>
              <w:bottom w:val="single" w:color="auto" w:sz="4" w:space="0"/>
            </w:tcBorders>
            <w:noWrap w:val="0"/>
            <w:vAlign w:val="center"/>
          </w:tcPr>
          <w:p w14:paraId="7AE6E97B">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 xml:space="preserve">4 </w:t>
            </w:r>
          </w:p>
        </w:tc>
        <w:tc>
          <w:tcPr>
            <w:tcW w:w="2466" w:type="dxa"/>
            <w:tcBorders>
              <w:top w:val="single" w:color="auto" w:sz="4" w:space="0"/>
              <w:bottom w:val="single" w:color="auto" w:sz="4" w:space="0"/>
            </w:tcBorders>
            <w:noWrap w:val="0"/>
            <w:vAlign w:val="center"/>
          </w:tcPr>
          <w:p w14:paraId="28F0BEDE">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110kV植村1回T接110kV聚飘线通信光缆工程</w:t>
            </w:r>
          </w:p>
        </w:tc>
        <w:tc>
          <w:tcPr>
            <w:tcW w:w="1670" w:type="dxa"/>
            <w:noWrap w:val="0"/>
            <w:vAlign w:val="center"/>
          </w:tcPr>
          <w:p w14:paraId="49EBE7E5">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0</w:t>
            </w:r>
            <w:r>
              <w:rPr>
                <w:rFonts w:hint="eastAsia" w:ascii="宋体" w:hAnsi="宋体" w:cs="宋体"/>
                <w:color w:val="000000"/>
                <w:kern w:val="0"/>
                <w:sz w:val="20"/>
                <w:szCs w:val="20"/>
                <w:lang w:val="en-US" w:eastAsia="zh-CN" w:bidi="ar"/>
              </w:rPr>
              <w:t>.00</w:t>
            </w:r>
            <w:r>
              <w:rPr>
                <w:rFonts w:hint="default" w:ascii="宋体" w:hAnsi="宋体" w:cs="宋体"/>
                <w:color w:val="000000"/>
                <w:kern w:val="0"/>
                <w:sz w:val="20"/>
                <w:szCs w:val="20"/>
                <w:lang w:bidi="ar"/>
              </w:rPr>
              <w:t xml:space="preserve"> </w:t>
            </w:r>
          </w:p>
        </w:tc>
        <w:tc>
          <w:tcPr>
            <w:tcW w:w="1135" w:type="dxa"/>
            <w:vMerge w:val="continue"/>
            <w:noWrap w:val="0"/>
            <w:vAlign w:val="center"/>
          </w:tcPr>
          <w:p w14:paraId="5D4C0470">
            <w:pPr>
              <w:tabs>
                <w:tab w:val="left" w:pos="900"/>
              </w:tabs>
              <w:snapToGrid w:val="0"/>
              <w:spacing w:before="60" w:after="120"/>
              <w:ind w:right="-24"/>
              <w:jc w:val="center"/>
              <w:rPr>
                <w:rFonts w:ascii="宋体" w:hAnsi="宋体"/>
                <w:color w:val="auto"/>
                <w:highlight w:val="none"/>
              </w:rPr>
            </w:pPr>
          </w:p>
        </w:tc>
        <w:tc>
          <w:tcPr>
            <w:tcW w:w="1714" w:type="dxa"/>
            <w:noWrap w:val="0"/>
            <w:vAlign w:val="top"/>
          </w:tcPr>
          <w:p w14:paraId="4DBD1B4F">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158CABB6">
            <w:pPr>
              <w:tabs>
                <w:tab w:val="left" w:pos="900"/>
              </w:tabs>
              <w:snapToGrid w:val="0"/>
              <w:spacing w:before="60" w:after="120"/>
              <w:ind w:right="-24"/>
              <w:jc w:val="center"/>
              <w:rPr>
                <w:rFonts w:ascii="宋体" w:hAnsi="宋体"/>
                <w:color w:val="auto"/>
                <w:highlight w:val="none"/>
              </w:rPr>
            </w:pPr>
          </w:p>
        </w:tc>
      </w:tr>
      <w:tr w14:paraId="201C7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trPr>
        <w:tc>
          <w:tcPr>
            <w:tcW w:w="926" w:type="dxa"/>
            <w:tcBorders>
              <w:top w:val="single" w:color="auto" w:sz="4" w:space="0"/>
              <w:bottom w:val="single" w:color="auto" w:sz="4" w:space="0"/>
            </w:tcBorders>
            <w:noWrap w:val="0"/>
            <w:vAlign w:val="center"/>
          </w:tcPr>
          <w:p w14:paraId="39721986">
            <w:pPr>
              <w:spacing w:beforeLines="0" w:afterLines="0"/>
              <w:rPr>
                <w:rFonts w:hint="default" w:ascii="宋体" w:hAnsi="宋体" w:eastAsia="宋体" w:cs="宋体"/>
                <w:b/>
                <w:color w:val="000000"/>
                <w:kern w:val="2"/>
                <w:sz w:val="20"/>
                <w:szCs w:val="20"/>
                <w:lang w:val="en-US" w:eastAsia="zh-CN" w:bidi="ar-SA"/>
              </w:rPr>
            </w:pPr>
          </w:p>
        </w:tc>
        <w:tc>
          <w:tcPr>
            <w:tcW w:w="2466" w:type="dxa"/>
            <w:tcBorders>
              <w:top w:val="single" w:color="auto" w:sz="4" w:space="0"/>
              <w:bottom w:val="single" w:color="auto" w:sz="4" w:space="0"/>
            </w:tcBorders>
            <w:noWrap w:val="0"/>
            <w:vAlign w:val="center"/>
          </w:tcPr>
          <w:p w14:paraId="0D38E60D">
            <w:pPr>
              <w:widowControl/>
              <w:spacing w:beforeLines="0" w:afterLines="0"/>
              <w:jc w:val="left"/>
              <w:textAlignment w:val="center"/>
              <w:rPr>
                <w:rFonts w:hint="eastAsia"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合计（一+二+三）</w:t>
            </w:r>
          </w:p>
        </w:tc>
        <w:tc>
          <w:tcPr>
            <w:tcW w:w="1670" w:type="dxa"/>
            <w:noWrap w:val="0"/>
            <w:vAlign w:val="center"/>
          </w:tcPr>
          <w:p w14:paraId="2AF49FDF">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8798</w:t>
            </w:r>
            <w:r>
              <w:rPr>
                <w:rFonts w:hint="eastAsia" w:ascii="宋体" w:hAnsi="宋体" w:cs="宋体"/>
                <w:b/>
                <w:color w:val="000000"/>
                <w:kern w:val="0"/>
                <w:sz w:val="20"/>
                <w:szCs w:val="20"/>
                <w:lang w:val="en-US" w:eastAsia="zh-CN" w:bidi="ar"/>
              </w:rPr>
              <w:t>00.00</w:t>
            </w:r>
            <w:r>
              <w:rPr>
                <w:rFonts w:hint="default" w:ascii="宋体" w:hAnsi="宋体" w:cs="宋体"/>
                <w:b/>
                <w:color w:val="000000"/>
                <w:kern w:val="0"/>
                <w:sz w:val="20"/>
                <w:szCs w:val="20"/>
                <w:lang w:bidi="ar"/>
              </w:rPr>
              <w:t xml:space="preserve"> </w:t>
            </w:r>
          </w:p>
        </w:tc>
        <w:tc>
          <w:tcPr>
            <w:tcW w:w="1135" w:type="dxa"/>
            <w:vMerge w:val="continue"/>
            <w:noWrap w:val="0"/>
            <w:vAlign w:val="center"/>
          </w:tcPr>
          <w:p w14:paraId="31B45A7D">
            <w:pPr>
              <w:tabs>
                <w:tab w:val="left" w:pos="900"/>
              </w:tabs>
              <w:snapToGrid w:val="0"/>
              <w:spacing w:before="60" w:after="120"/>
              <w:ind w:right="-24"/>
              <w:jc w:val="center"/>
              <w:rPr>
                <w:rFonts w:ascii="宋体" w:hAnsi="宋体"/>
                <w:color w:val="auto"/>
                <w:highlight w:val="none"/>
              </w:rPr>
            </w:pPr>
          </w:p>
        </w:tc>
        <w:tc>
          <w:tcPr>
            <w:tcW w:w="1714" w:type="dxa"/>
            <w:noWrap w:val="0"/>
            <w:vAlign w:val="top"/>
          </w:tcPr>
          <w:p w14:paraId="5DF94A18">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23F16815">
            <w:pPr>
              <w:tabs>
                <w:tab w:val="left" w:pos="900"/>
              </w:tabs>
              <w:snapToGrid w:val="0"/>
              <w:spacing w:before="60" w:after="120"/>
              <w:ind w:right="-24"/>
              <w:jc w:val="center"/>
              <w:rPr>
                <w:rFonts w:ascii="宋体" w:hAnsi="宋体"/>
                <w:color w:val="auto"/>
                <w:highlight w:val="none"/>
              </w:rPr>
            </w:pPr>
          </w:p>
        </w:tc>
      </w:tr>
      <w:tr w14:paraId="3C49F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3392" w:type="dxa"/>
            <w:gridSpan w:val="2"/>
            <w:tcBorders>
              <w:top w:val="single" w:color="auto" w:sz="4" w:space="0"/>
              <w:bottom w:val="single" w:color="auto" w:sz="4" w:space="0"/>
            </w:tcBorders>
            <w:noWrap w:val="0"/>
            <w:vAlign w:val="center"/>
          </w:tcPr>
          <w:p w14:paraId="5369E41A">
            <w:pPr>
              <w:tabs>
                <w:tab w:val="left" w:pos="900"/>
              </w:tabs>
              <w:snapToGrid w:val="0"/>
              <w:spacing w:before="60" w:after="120"/>
              <w:ind w:right="-24"/>
              <w:jc w:val="center"/>
              <w:rPr>
                <w:rFonts w:ascii="宋体" w:hAnsi="宋体"/>
                <w:b/>
                <w:color w:val="auto"/>
                <w:szCs w:val="21"/>
                <w:highlight w:val="none"/>
              </w:rPr>
            </w:pPr>
            <w:r>
              <w:rPr>
                <w:rFonts w:hint="eastAsia" w:ascii="宋体" w:hAnsi="宋体"/>
                <w:b/>
                <w:color w:val="auto"/>
                <w:szCs w:val="21"/>
                <w:highlight w:val="none"/>
              </w:rPr>
              <w:t>投标报价总金额(大写)</w:t>
            </w:r>
          </w:p>
        </w:tc>
        <w:tc>
          <w:tcPr>
            <w:tcW w:w="1670" w:type="dxa"/>
            <w:tcBorders>
              <w:top w:val="single" w:color="auto" w:sz="4" w:space="0"/>
              <w:bottom w:val="single" w:color="auto" w:sz="4" w:space="0"/>
              <w:tr2bl w:val="single" w:color="auto" w:sz="4" w:space="0"/>
            </w:tcBorders>
            <w:noWrap w:val="0"/>
            <w:vAlign w:val="top"/>
          </w:tcPr>
          <w:p w14:paraId="7356865A">
            <w:pPr>
              <w:tabs>
                <w:tab w:val="left" w:pos="900"/>
              </w:tabs>
              <w:snapToGrid w:val="0"/>
              <w:spacing w:before="60" w:after="120"/>
              <w:ind w:right="-24"/>
              <w:jc w:val="center"/>
              <w:rPr>
                <w:rFonts w:ascii="宋体" w:hAnsi="宋体"/>
                <w:color w:val="auto"/>
                <w:highlight w:val="none"/>
              </w:rPr>
            </w:pPr>
          </w:p>
        </w:tc>
        <w:tc>
          <w:tcPr>
            <w:tcW w:w="1135" w:type="dxa"/>
            <w:tcBorders>
              <w:top w:val="single" w:color="auto" w:sz="4" w:space="0"/>
              <w:bottom w:val="single" w:color="auto" w:sz="4" w:space="0"/>
              <w:tr2bl w:val="single" w:color="auto" w:sz="4" w:space="0"/>
            </w:tcBorders>
            <w:noWrap w:val="0"/>
            <w:vAlign w:val="center"/>
          </w:tcPr>
          <w:p w14:paraId="42F8B5FB">
            <w:pPr>
              <w:tabs>
                <w:tab w:val="left" w:pos="900"/>
              </w:tabs>
              <w:snapToGrid w:val="0"/>
              <w:spacing w:before="60" w:after="120"/>
              <w:ind w:right="-24"/>
              <w:jc w:val="center"/>
              <w:rPr>
                <w:rFonts w:ascii="宋体" w:hAnsi="宋体"/>
                <w:color w:val="auto"/>
                <w:highlight w:val="none"/>
              </w:rPr>
            </w:pPr>
          </w:p>
        </w:tc>
        <w:tc>
          <w:tcPr>
            <w:tcW w:w="1714" w:type="dxa"/>
            <w:tcBorders>
              <w:top w:val="single" w:color="auto" w:sz="4" w:space="0"/>
              <w:bottom w:val="single" w:color="auto" w:sz="4" w:space="0"/>
              <w:tr2bl w:val="single" w:color="auto" w:sz="4" w:space="0"/>
            </w:tcBorders>
            <w:noWrap w:val="0"/>
            <w:vAlign w:val="top"/>
          </w:tcPr>
          <w:p w14:paraId="65EFD5F5">
            <w:pPr>
              <w:tabs>
                <w:tab w:val="left" w:pos="900"/>
              </w:tabs>
              <w:snapToGrid w:val="0"/>
              <w:spacing w:before="60" w:after="120"/>
              <w:ind w:right="-24"/>
              <w:jc w:val="center"/>
              <w:rPr>
                <w:rFonts w:ascii="宋体" w:hAnsi="宋体"/>
                <w:color w:val="auto"/>
                <w:highlight w:val="none"/>
              </w:rPr>
            </w:pPr>
          </w:p>
        </w:tc>
        <w:tc>
          <w:tcPr>
            <w:tcW w:w="1246" w:type="dxa"/>
            <w:tcBorders>
              <w:top w:val="single" w:color="auto" w:sz="4" w:space="0"/>
              <w:bottom w:val="single" w:color="auto" w:sz="4" w:space="0"/>
            </w:tcBorders>
            <w:noWrap w:val="0"/>
            <w:vAlign w:val="center"/>
          </w:tcPr>
          <w:p w14:paraId="1B4AC675">
            <w:pPr>
              <w:tabs>
                <w:tab w:val="left" w:pos="900"/>
              </w:tabs>
              <w:snapToGrid w:val="0"/>
              <w:spacing w:before="60" w:after="120"/>
              <w:ind w:right="-24"/>
              <w:jc w:val="center"/>
              <w:rPr>
                <w:rFonts w:ascii="宋体" w:hAnsi="宋体"/>
                <w:color w:val="auto"/>
                <w:highlight w:val="none"/>
              </w:rPr>
            </w:pPr>
          </w:p>
        </w:tc>
      </w:tr>
    </w:tbl>
    <w:p w14:paraId="0C1AB2D0">
      <w:pPr>
        <w:pStyle w:val="6"/>
        <w:ind w:firstLine="240" w:firstLineChars="100"/>
        <w:rPr>
          <w:rFonts w:hint="eastAsia" w:ascii="宋体" w:hAnsi="宋体" w:eastAsia="宋体" w:cs="宋体"/>
          <w:color w:val="auto"/>
          <w:kern w:val="2"/>
          <w:sz w:val="24"/>
          <w:szCs w:val="24"/>
          <w:highlight w:val="none"/>
          <w:u w:val="none"/>
          <w:lang w:val="en-US" w:eastAsia="zh-CN" w:bidi="ar-SA"/>
        </w:rPr>
      </w:pPr>
    </w:p>
    <w:p w14:paraId="0ECA766A">
      <w:pPr>
        <w:pStyle w:val="6"/>
        <w:ind w:firstLine="240" w:firstLineChars="100"/>
        <w:rPr>
          <w:rFonts w:hint="eastAsia" w:ascii="宋体" w:hAnsi="宋体" w:eastAsia="宋体" w:cs="宋体"/>
          <w:color w:val="auto"/>
          <w:kern w:val="2"/>
          <w:sz w:val="24"/>
          <w:szCs w:val="24"/>
          <w:highlight w:val="none"/>
          <w:u w:val="none"/>
          <w:lang w:val="en-US" w:eastAsia="zh-CN" w:bidi="ar-SA"/>
        </w:rPr>
      </w:pPr>
      <w:bookmarkStart w:id="8" w:name="_GoBack"/>
      <w:r>
        <w:rPr>
          <w:rFonts w:hint="eastAsia" w:ascii="宋体" w:hAnsi="宋体" w:eastAsia="宋体" w:cs="宋体"/>
          <w:color w:val="auto"/>
          <w:kern w:val="2"/>
          <w:sz w:val="24"/>
          <w:szCs w:val="24"/>
          <w:highlight w:val="none"/>
          <w:u w:val="none"/>
          <w:lang w:val="en-US" w:eastAsia="zh-CN" w:bidi="ar-SA"/>
        </w:rPr>
        <w:t>报价要求：</w:t>
      </w:r>
    </w:p>
    <w:p w14:paraId="111A804B">
      <w:pPr>
        <w:pStyle w:val="7"/>
        <w:ind w:firstLine="480" w:firstLineChars="200"/>
        <w:jc w:val="left"/>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 按下浮率报价（保留两位小数，如8.88%），同时填报投标报价（投标报价=最高投标限价*(1-投标下浮率)，四舍五入保留位两位小数)。当投标报价与投标下浮率计算结果不一致时，以投标下浮率为准，按上述公式修订投标报价。</w:t>
      </w:r>
    </w:p>
    <w:p w14:paraId="42F5E83A">
      <w:pPr>
        <w:pStyle w:val="7"/>
        <w:ind w:firstLine="480" w:firstLineChars="200"/>
        <w:jc w:val="left"/>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投标人所报的下浮率不低于0%为有效报价，下浮率&gt;10%的必须附详细的成本分析报告（成本分析报告需充分说明单价和费用的组成、降低成本的合理措施及在其他工程中应用过的经验，否则视为原则性不响应招标文件要求，作否决投标处理)</w:t>
      </w:r>
    </w:p>
    <w:p w14:paraId="0C107D35">
      <w:pPr>
        <w:pStyle w:val="7"/>
        <w:jc w:val="left"/>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 xml:space="preserve">（3）价格分计算时，投标人评标价按（100-投标人填写的下浮数值）参与计算。如：下浮率为1.88%时，评标价按（100-1.88）参与计算。 </w:t>
      </w:r>
      <w:r>
        <w:rPr>
          <w:rFonts w:hint="eastAsia" w:ascii="宋体" w:hAnsi="宋体" w:eastAsia="宋体" w:cs="宋体"/>
          <w:color w:val="auto"/>
          <w:kern w:val="2"/>
          <w:sz w:val="24"/>
          <w:szCs w:val="24"/>
          <w:highlight w:val="none"/>
          <w:u w:val="single"/>
          <w:lang w:val="en-US" w:eastAsia="zh-CN" w:bidi="ar-SA"/>
        </w:rPr>
        <w:t xml:space="preserve">  </w:t>
      </w:r>
      <w:bookmarkEnd w:id="8"/>
    </w:p>
    <w:p w14:paraId="08EA7A37">
      <w:pPr>
        <w:rPr>
          <w:rFonts w:hint="eastAsia"/>
          <w:color w:val="auto"/>
          <w:highlight w:val="none"/>
          <w:lang w:val="en-US" w:eastAsia="zh-CN"/>
        </w:rPr>
      </w:pPr>
    </w:p>
    <w:p w14:paraId="08798EBC">
      <w:pPr>
        <w:pStyle w:val="3"/>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4C810A00">
      <w:pPr>
        <w:pStyle w:val="7"/>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u w:val="single"/>
          <w:lang w:val="en-US" w:eastAsia="zh-CN" w:bidi="ar-SA"/>
        </w:rPr>
        <w:t>按中标结果及合同结算条款进行结算。</w:t>
      </w:r>
      <w:r>
        <w:rPr>
          <w:rFonts w:hint="eastAsia" w:ascii="宋体" w:hAnsi="宋体" w:eastAsia="宋体" w:cs="宋体"/>
          <w:color w:val="auto"/>
          <w:kern w:val="2"/>
          <w:sz w:val="24"/>
          <w:szCs w:val="24"/>
          <w:highlight w:val="none"/>
          <w:u w:val="single"/>
          <w:lang w:val="en-US" w:eastAsia="zh-CN" w:bidi="ar-SA"/>
        </w:rPr>
        <w:t xml:space="preserve">  </w:t>
      </w:r>
    </w:p>
    <w:p w14:paraId="62C5035B">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20F141F4">
      <w:pPr>
        <w:pStyle w:val="10"/>
        <w:numPr>
          <w:ilvl w:val="0"/>
          <w:numId w:val="0"/>
        </w:numPr>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FE"/>
      </w:r>
      <w:r>
        <w:rPr>
          <w:rFonts w:hint="eastAsia"/>
          <w:color w:val="auto"/>
          <w:sz w:val="24"/>
          <w:szCs w:val="24"/>
          <w:highlight w:val="none"/>
          <w:lang w:eastAsia="zh-CN"/>
        </w:rPr>
        <w:t>不允许分包</w:t>
      </w:r>
    </w:p>
    <w:p w14:paraId="044012B2">
      <w:pPr>
        <w:pStyle w:val="10"/>
        <w:numPr>
          <w:ilvl w:val="0"/>
          <w:numId w:val="0"/>
        </w:numPr>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A8"/>
      </w:r>
      <w:r>
        <w:rPr>
          <w:rFonts w:hint="eastAsia"/>
          <w:color w:val="auto"/>
          <w:sz w:val="24"/>
          <w:szCs w:val="24"/>
          <w:highlight w:val="none"/>
          <w:lang w:eastAsia="zh-CN"/>
        </w:rPr>
        <w:t>允许分包，但必须符合以下要求：</w:t>
      </w:r>
    </w:p>
    <w:p w14:paraId="1FCAFF0E">
      <w:pPr>
        <w:pStyle w:val="7"/>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35329407">
      <w:pPr>
        <w:rPr>
          <w:rFonts w:hint="eastAsia" w:ascii="宋体" w:hAnsi="宋体" w:eastAsia="宋体" w:cs="宋体"/>
          <w:color w:val="auto"/>
          <w:kern w:val="2"/>
          <w:sz w:val="24"/>
          <w:szCs w:val="24"/>
          <w:highlight w:val="none"/>
          <w:u w:val="single"/>
          <w:lang w:val="en-US" w:eastAsia="zh-CN" w:bidi="ar-SA"/>
        </w:rPr>
      </w:pPr>
    </w:p>
    <w:p w14:paraId="371F5560">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2CFAFD02">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5C0DE184">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14:paraId="61DEF26D">
      <w:pPr>
        <w:pStyle w:val="9"/>
        <w:rPr>
          <w:rFonts w:hint="eastAsia" w:asciiTheme="minorEastAsia" w:hAnsiTheme="minorEastAsia" w:eastAsiaTheme="minorEastAsia" w:cstheme="minorEastAsia"/>
          <w:i w:val="0"/>
          <w:iCs/>
          <w:color w:val="auto"/>
          <w:sz w:val="24"/>
          <w:szCs w:val="24"/>
          <w:highlight w:val="none"/>
        </w:rPr>
      </w:pPr>
    </w:p>
    <w:p w14:paraId="3D1FEF5D">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14:paraId="5536178B">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14:paraId="3B3AC7D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（二）符合图纸及技术文件的要求。</w:t>
      </w:r>
    </w:p>
    <w:p w14:paraId="5CB4E40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en-US" w:eastAsia="zh-CN"/>
        </w:rPr>
      </w:pPr>
      <w:r>
        <w:rPr>
          <w:rFonts w:hint="eastAsia" w:asciiTheme="minorEastAsia" w:hAnsiTheme="minorEastAsia" w:eastAsiaTheme="minorEastAsia" w:cstheme="minorEastAsia"/>
          <w:i w:val="0"/>
          <w:iCs/>
          <w:color w:val="auto"/>
          <w:kern w:val="0"/>
          <w:sz w:val="24"/>
          <w:szCs w:val="24"/>
          <w:highlight w:val="none"/>
          <w:lang w:val="en-US" w:eastAsia="zh-CN"/>
        </w:rPr>
        <w:t>（三）严格执行以下管理要求：</w:t>
      </w:r>
    </w:p>
    <w:p w14:paraId="61BBB5E4">
      <w:pPr>
        <w:pStyle w:val="9"/>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3FC8A6BA">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387CC12E">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5CE364CF">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2CB2EAC9">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48321551">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1833A627">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7BC229E3">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1E0EBB26">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2287B4B5">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6489F702">
      <w:pPr>
        <w:pStyle w:val="3"/>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14:paraId="723144D0">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lang w:val="en-US" w:eastAsia="zh-CN"/>
        </w:rPr>
        <w:t>无</w:t>
      </w:r>
      <w:r>
        <w:rPr>
          <w:rFonts w:hint="eastAsia"/>
          <w:color w:val="auto"/>
          <w:sz w:val="24"/>
          <w:szCs w:val="24"/>
          <w:highlight w:val="none"/>
        </w:rPr>
        <w:t>。</w:t>
      </w:r>
    </w:p>
    <w:p w14:paraId="2DCAD4C1">
      <w:pPr>
        <w:pStyle w:val="3"/>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14:paraId="20E3B01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53D6B5F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（1）工程前期有关文件（可研审批文件）；</w:t>
      </w:r>
    </w:p>
    <w:p w14:paraId="3F12AEF5">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270A5"/>
    <w:rsid w:val="007A4AD7"/>
    <w:rsid w:val="014A49D0"/>
    <w:rsid w:val="02356735"/>
    <w:rsid w:val="034C42F7"/>
    <w:rsid w:val="0359140E"/>
    <w:rsid w:val="03F1316B"/>
    <w:rsid w:val="04A24F71"/>
    <w:rsid w:val="04F15628"/>
    <w:rsid w:val="076F3B3B"/>
    <w:rsid w:val="07CA37DF"/>
    <w:rsid w:val="07CC3833"/>
    <w:rsid w:val="0BC07002"/>
    <w:rsid w:val="0BD30473"/>
    <w:rsid w:val="0D0414C3"/>
    <w:rsid w:val="0E2F4C02"/>
    <w:rsid w:val="0E3616E0"/>
    <w:rsid w:val="0E937FF7"/>
    <w:rsid w:val="0F81532F"/>
    <w:rsid w:val="107144D2"/>
    <w:rsid w:val="1159504B"/>
    <w:rsid w:val="116419AD"/>
    <w:rsid w:val="11794537"/>
    <w:rsid w:val="11DF6CFE"/>
    <w:rsid w:val="13383335"/>
    <w:rsid w:val="14440D4B"/>
    <w:rsid w:val="14B666F3"/>
    <w:rsid w:val="15056A61"/>
    <w:rsid w:val="182633AB"/>
    <w:rsid w:val="18E57496"/>
    <w:rsid w:val="1A2D5CFF"/>
    <w:rsid w:val="1A386933"/>
    <w:rsid w:val="1A4F176B"/>
    <w:rsid w:val="1A912F72"/>
    <w:rsid w:val="1B663F82"/>
    <w:rsid w:val="1C2D4629"/>
    <w:rsid w:val="1C43636C"/>
    <w:rsid w:val="1D904223"/>
    <w:rsid w:val="1F653C49"/>
    <w:rsid w:val="1F6C0D31"/>
    <w:rsid w:val="1FF914D4"/>
    <w:rsid w:val="20735046"/>
    <w:rsid w:val="20DB5B5E"/>
    <w:rsid w:val="216F4D5B"/>
    <w:rsid w:val="23B738BA"/>
    <w:rsid w:val="24E67795"/>
    <w:rsid w:val="24F737D8"/>
    <w:rsid w:val="25100685"/>
    <w:rsid w:val="26A73075"/>
    <w:rsid w:val="2ACB3B4E"/>
    <w:rsid w:val="2CA17C08"/>
    <w:rsid w:val="2DB52630"/>
    <w:rsid w:val="2DDF66E3"/>
    <w:rsid w:val="2E852ACB"/>
    <w:rsid w:val="2FF65FF8"/>
    <w:rsid w:val="300D195C"/>
    <w:rsid w:val="30BF37B5"/>
    <w:rsid w:val="31C955A9"/>
    <w:rsid w:val="32A90039"/>
    <w:rsid w:val="33B200AF"/>
    <w:rsid w:val="33E61BE2"/>
    <w:rsid w:val="361736AD"/>
    <w:rsid w:val="36CA3A78"/>
    <w:rsid w:val="36D200CF"/>
    <w:rsid w:val="379951F8"/>
    <w:rsid w:val="38382DC3"/>
    <w:rsid w:val="38DE045C"/>
    <w:rsid w:val="3A546240"/>
    <w:rsid w:val="3BF24D81"/>
    <w:rsid w:val="3BFE7BEA"/>
    <w:rsid w:val="3C4750A3"/>
    <w:rsid w:val="3C4A35F1"/>
    <w:rsid w:val="3D404468"/>
    <w:rsid w:val="3DE6097C"/>
    <w:rsid w:val="3E664B6D"/>
    <w:rsid w:val="3ED7087B"/>
    <w:rsid w:val="3F141BFC"/>
    <w:rsid w:val="43614E33"/>
    <w:rsid w:val="444D481C"/>
    <w:rsid w:val="44982260"/>
    <w:rsid w:val="44D414C9"/>
    <w:rsid w:val="46472D5E"/>
    <w:rsid w:val="483B54AC"/>
    <w:rsid w:val="496A657E"/>
    <w:rsid w:val="49843C09"/>
    <w:rsid w:val="4B3A1BDA"/>
    <w:rsid w:val="4BC66CF0"/>
    <w:rsid w:val="4BF83760"/>
    <w:rsid w:val="4C8349B8"/>
    <w:rsid w:val="520D6E5F"/>
    <w:rsid w:val="53115540"/>
    <w:rsid w:val="55C3156A"/>
    <w:rsid w:val="5782183A"/>
    <w:rsid w:val="57BD355E"/>
    <w:rsid w:val="59A5419F"/>
    <w:rsid w:val="5B0320E2"/>
    <w:rsid w:val="5B8B11A7"/>
    <w:rsid w:val="5B9E2EC4"/>
    <w:rsid w:val="5BC20CDF"/>
    <w:rsid w:val="5DA51323"/>
    <w:rsid w:val="608606DE"/>
    <w:rsid w:val="610E324A"/>
    <w:rsid w:val="61F31EFD"/>
    <w:rsid w:val="63066BC7"/>
    <w:rsid w:val="63D0487B"/>
    <w:rsid w:val="64672037"/>
    <w:rsid w:val="64911DA0"/>
    <w:rsid w:val="65945D8D"/>
    <w:rsid w:val="66C35559"/>
    <w:rsid w:val="67797872"/>
    <w:rsid w:val="67D57489"/>
    <w:rsid w:val="68570F93"/>
    <w:rsid w:val="6A287B5E"/>
    <w:rsid w:val="6B303A1A"/>
    <w:rsid w:val="6DAA2FDF"/>
    <w:rsid w:val="6DF925EC"/>
    <w:rsid w:val="6E121228"/>
    <w:rsid w:val="6E614D6E"/>
    <w:rsid w:val="6FC971BF"/>
    <w:rsid w:val="70D1495F"/>
    <w:rsid w:val="70ED510D"/>
    <w:rsid w:val="74695E39"/>
    <w:rsid w:val="754C6F3B"/>
    <w:rsid w:val="75B11AFF"/>
    <w:rsid w:val="75D32619"/>
    <w:rsid w:val="765369C1"/>
    <w:rsid w:val="767D6887"/>
    <w:rsid w:val="76E40006"/>
    <w:rsid w:val="780B6A75"/>
    <w:rsid w:val="782C3C84"/>
    <w:rsid w:val="79F83E18"/>
    <w:rsid w:val="7A262145"/>
    <w:rsid w:val="7BEC3F2B"/>
    <w:rsid w:val="7D0F76D8"/>
    <w:rsid w:val="7E3420E0"/>
    <w:rsid w:val="7E535DCD"/>
    <w:rsid w:val="7E9A7173"/>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2087</Words>
  <Characters>2472</Characters>
  <Lines>0</Lines>
  <Paragraphs>0</Paragraphs>
  <TotalTime>21</TotalTime>
  <ScaleCrop>false</ScaleCrop>
  <LinksUpToDate>false</LinksUpToDate>
  <CharactersWithSpaces>2589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2025-10-28T07:21:15Z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395283A9EC9A462AB7EDA3570D5F5C25_13</vt:lpwstr>
  </property>
  <property fmtid="{D5CDD505-2E9C-101B-9397-08002B2CF9AE}" pid="4" name="KSOTemplateDocerSaveRecord">
    <vt:lpwstr>eyJoZGlkIjoiNGQxZGUyZmQ5MDU5MjhiNzUxNWY4N2Q0ZGU2Y2VhOTgiLCJ1c2VySWQiOiI3MDM5OTYzMzMifQ==</vt:lpwstr>
  </property>
</Properties>
</file>