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</w:pPr>
      <w:bookmarkStart w:id="0" w:name="_Toc8445"/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  <w:t>附件A.项目信息清单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  <w:highlight w:val="none"/>
          <w:u w:val="single"/>
          <w:lang w:val="en-US" w:eastAsia="zh-CN"/>
        </w:rPr>
        <w:t xml:space="preserve"> 辅助高效监管与工程验收的AR技术研究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）</w:t>
      </w:r>
    </w:p>
    <w:bookmarkEnd w:id="0"/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项目信息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/>
        </w:rPr>
        <w:t>招标前期资料</w:t>
      </w:r>
    </w:p>
    <w:tbl>
      <w:tblPr>
        <w:tblStyle w:val="12"/>
        <w:tblW w:w="98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3783"/>
        <w:gridCol w:w="52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7" w:hRule="exact"/>
          <w:jc w:val="center"/>
        </w:trPr>
        <w:tc>
          <w:tcPr>
            <w:tcW w:w="776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3783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文件名称</w:t>
            </w:r>
          </w:p>
        </w:tc>
        <w:tc>
          <w:tcPr>
            <w:tcW w:w="5250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文件文号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  <w:jc w:val="center"/>
        </w:trPr>
        <w:tc>
          <w:tcPr>
            <w:tcW w:w="776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3783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项目立项(可研批复)文号</w:t>
            </w:r>
          </w:p>
        </w:tc>
        <w:tc>
          <w:tcPr>
            <w:tcW w:w="5250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办输配电〔2025〕68号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  <w:jc w:val="center"/>
        </w:trPr>
        <w:tc>
          <w:tcPr>
            <w:tcW w:w="776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3783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  <w:t>资金落实情况</w:t>
            </w:r>
          </w:p>
        </w:tc>
        <w:tc>
          <w:tcPr>
            <w:tcW w:w="5250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广供电资〔2024〕57号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  <w:jc w:val="center"/>
        </w:trPr>
        <w:tc>
          <w:tcPr>
            <w:tcW w:w="776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3783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项目建设单位</w:t>
            </w:r>
          </w:p>
        </w:tc>
        <w:tc>
          <w:tcPr>
            <w:tcW w:w="5250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广东电网有限责任公司广州供电局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  <w:jc w:val="center"/>
        </w:trPr>
        <w:tc>
          <w:tcPr>
            <w:tcW w:w="776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3783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项目建设地点</w:t>
            </w:r>
          </w:p>
        </w:tc>
        <w:tc>
          <w:tcPr>
            <w:tcW w:w="5250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广州市花都区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  <w:jc w:val="center"/>
        </w:trPr>
        <w:tc>
          <w:tcPr>
            <w:tcW w:w="776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3783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服务期</w:t>
            </w:r>
          </w:p>
        </w:tc>
        <w:tc>
          <w:tcPr>
            <w:tcW w:w="5250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bCs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>合同签订之日起至2027年12月30日，实际服务期以委托函上载明的时间为准。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before="157" w:beforeLines="50" w:after="157" w:afterLines="50" w:line="48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一、项目概况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napToGrid/>
        <w:spacing w:before="157" w:beforeLines="50" w:after="157" w:afterLines="50" w:line="240" w:lineRule="auto"/>
        <w:ind w:firstLine="480" w:firstLineChars="200"/>
        <w:textAlignment w:val="auto"/>
        <w:rPr>
          <w:rFonts w:hint="default" w:asciiTheme="minorEastAsia" w:hAnsiTheme="minorEastAsia" w:eastAsiaTheme="minorEastAsia" w:cstheme="minorEastAsia"/>
          <w:b w:val="0"/>
          <w:bCs w:val="0"/>
          <w:snapToGrid w:val="0"/>
          <w:color w:val="auto"/>
          <w:kern w:val="0"/>
          <w:sz w:val="24"/>
          <w:szCs w:val="24"/>
          <w:highlight w:val="none"/>
          <w:u w:val="none"/>
          <w:vertAlign w:val="baseli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napToGrid w:val="0"/>
          <w:color w:val="auto"/>
          <w:kern w:val="0"/>
          <w:sz w:val="24"/>
          <w:szCs w:val="24"/>
          <w:highlight w:val="none"/>
          <w:u w:val="none"/>
          <w:vertAlign w:val="baseline"/>
          <w:lang w:val="en-US" w:eastAsia="zh-CN" w:bidi="ar-SA"/>
        </w:rPr>
        <w:t>根据《关于下达公司2025年依托工程基建新技术研究项目的通知》，依托广州110千伏北兴站扩建第三台主变工程，研究辅助验收的AR显示与交互技术，其核心技术涵盖电力工程验收标准大数据模型搭建、三维重建与神经辐射场技术、数据对齐算法、边缘计算架构及多模态传感器集成校准等，对《辅助高效监管与工程验收的AR技术研究》提供技术研究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8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二、采购范围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napToGrid/>
        <w:spacing w:before="157" w:beforeLines="50" w:after="157" w:afterLines="50" w:line="24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napToGrid w:val="0"/>
          <w:color w:val="auto"/>
          <w:kern w:val="0"/>
          <w:sz w:val="24"/>
          <w:szCs w:val="24"/>
          <w:highlight w:val="none"/>
          <w:u w:val="none"/>
          <w:vertAlign w:val="baseli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napToGrid w:val="0"/>
          <w:color w:val="auto"/>
          <w:kern w:val="0"/>
          <w:sz w:val="24"/>
          <w:szCs w:val="24"/>
          <w:highlight w:val="none"/>
          <w:u w:val="none"/>
          <w:vertAlign w:val="baseline"/>
          <w:lang w:val="en-US" w:eastAsia="zh-CN" w:bidi="ar-SA"/>
        </w:rPr>
        <w:t>1、AI智能验收眼镜系统1套；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napToGrid/>
        <w:spacing w:before="157" w:beforeLines="50" w:after="157" w:afterLines="50" w:line="24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napToGrid w:val="0"/>
          <w:color w:val="auto"/>
          <w:kern w:val="0"/>
          <w:sz w:val="24"/>
          <w:szCs w:val="24"/>
          <w:highlight w:val="none"/>
          <w:u w:val="none"/>
          <w:vertAlign w:val="baseli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napToGrid w:val="0"/>
          <w:color w:val="auto"/>
          <w:kern w:val="0"/>
          <w:sz w:val="24"/>
          <w:szCs w:val="24"/>
          <w:highlight w:val="none"/>
          <w:u w:val="none"/>
          <w:vertAlign w:val="baseline"/>
          <w:lang w:val="en-US" w:eastAsia="zh-CN" w:bidi="ar-SA"/>
        </w:rPr>
        <w:t>2、论文：发表中文期刊论文3篇；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napToGrid/>
        <w:spacing w:before="157" w:beforeLines="50" w:after="157" w:afterLines="50" w:line="24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napToGrid w:val="0"/>
          <w:color w:val="auto"/>
          <w:kern w:val="0"/>
          <w:sz w:val="24"/>
          <w:szCs w:val="24"/>
          <w:highlight w:val="none"/>
          <w:u w:val="none"/>
          <w:vertAlign w:val="baseli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napToGrid w:val="0"/>
          <w:color w:val="auto"/>
          <w:kern w:val="0"/>
          <w:sz w:val="24"/>
          <w:szCs w:val="24"/>
          <w:highlight w:val="none"/>
          <w:u w:val="none"/>
          <w:vertAlign w:val="baseline"/>
          <w:lang w:val="en-US" w:eastAsia="zh-CN" w:bidi="ar-SA"/>
        </w:rPr>
        <w:t>3、专利：受理发明专利8项；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napToGrid/>
        <w:spacing w:before="157" w:beforeLines="50" w:after="157" w:afterLines="50" w:line="24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napToGrid w:val="0"/>
          <w:color w:val="auto"/>
          <w:kern w:val="0"/>
          <w:sz w:val="24"/>
          <w:szCs w:val="24"/>
          <w:highlight w:val="none"/>
          <w:u w:val="none"/>
          <w:vertAlign w:val="baseli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napToGrid w:val="0"/>
          <w:color w:val="auto"/>
          <w:kern w:val="0"/>
          <w:sz w:val="24"/>
          <w:szCs w:val="24"/>
          <w:highlight w:val="none"/>
          <w:u w:val="none"/>
          <w:vertAlign w:val="baseline"/>
          <w:lang w:val="en-US" w:eastAsia="zh-CN" w:bidi="ar-SA"/>
        </w:rPr>
        <w:t>4、软著：申请软件著作权2项；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napToGrid/>
        <w:spacing w:before="157" w:beforeLines="50" w:after="157" w:afterLines="50" w:line="24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napToGrid w:val="0"/>
          <w:color w:val="auto"/>
          <w:kern w:val="0"/>
          <w:sz w:val="24"/>
          <w:szCs w:val="24"/>
          <w:highlight w:val="none"/>
          <w:u w:val="none"/>
          <w:vertAlign w:val="baseli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napToGrid w:val="0"/>
          <w:color w:val="auto"/>
          <w:kern w:val="0"/>
          <w:sz w:val="24"/>
          <w:szCs w:val="24"/>
          <w:highlight w:val="none"/>
          <w:u w:val="none"/>
          <w:vertAlign w:val="baseline"/>
          <w:lang w:val="en-US" w:eastAsia="zh-CN" w:bidi="ar-SA"/>
        </w:rPr>
        <w:t>5、报告：编写辅助高效监管与工程验收的AR技术研究总报告1份，编写AI智能巡视验收眼镜系统研制技术报告1份。</w:t>
      </w:r>
    </w:p>
    <w:p>
      <w:pPr>
        <w:pStyle w:val="8"/>
        <w:rPr>
          <w:rFonts w:hint="eastAsia"/>
          <w:b w:val="0"/>
          <w:bCs w:val="0"/>
          <w:lang w:val="en-US" w:eastAsia="zh-CN"/>
        </w:rPr>
      </w:pPr>
    </w:p>
    <w:p>
      <w:pPr>
        <w:pStyle w:val="4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spacing w:line="360" w:lineRule="auto"/>
        <w:outlineLvl w:val="1"/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  <w:t>报价表及报价要求</w:t>
      </w:r>
    </w:p>
    <w:p>
      <w:pPr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jc w:val="both"/>
        <w:rPr>
          <w:rFonts w:hint="eastAsia"/>
          <w:lang w:val="en-US" w:eastAsia="zh-CN"/>
        </w:rPr>
      </w:pPr>
    </w:p>
    <w:tbl>
      <w:tblPr>
        <w:tblStyle w:val="11"/>
        <w:tblpPr w:leftFromText="180" w:rightFromText="180" w:vertAnchor="text" w:horzAnchor="page" w:tblpX="1352" w:tblpY="66"/>
        <w:tblOverlap w:val="never"/>
        <w:tblW w:w="929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2232"/>
        <w:gridCol w:w="825"/>
        <w:gridCol w:w="1762"/>
        <w:gridCol w:w="694"/>
        <w:gridCol w:w="2073"/>
        <w:gridCol w:w="105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工程或费用名称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预计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最高投标限价（元）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投标下浮率</w:t>
            </w:r>
          </w:p>
        </w:tc>
        <w:tc>
          <w:tcPr>
            <w:tcW w:w="2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投标报价（元）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备  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辅助高效监管与工程验收的AR技术研究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广州供电局所辖范围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2254000</w:t>
            </w: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single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%</w:t>
            </w:r>
          </w:p>
        </w:tc>
        <w:tc>
          <w:tcPr>
            <w:tcW w:w="2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</w:tbl>
    <w:p>
      <w:pPr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jc w:val="both"/>
        <w:rPr>
          <w:rFonts w:hint="eastAsia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ascii="宋体" w:hAnsi="宋体" w:cs="宋体"/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>报价要求：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u w:val="single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u w:val="single"/>
        </w:rPr>
        <w:t>1. 金额报价，同时填报投标下浮率。当投标金额报价与投标下浮率计算结果不一致时，以投标金额报价为准，按公式【投标下浮率＝（1－投标报价/最高投标限价）×100%（保留两位小数，如：8.88%）】修订投标下浮率。</w:t>
      </w:r>
    </w:p>
    <w:p>
      <w:pPr>
        <w:pStyle w:val="9"/>
        <w:keepNext w:val="0"/>
        <w:keepLines w:val="0"/>
        <w:pageBreakBefore w:val="0"/>
        <w:widowControl/>
        <w:numPr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u w:val="single"/>
        </w:rPr>
        <w:t>2.投标报价≤最高投标限价（公布最高投标限价的总价及各单项价格）；投标下浮率不低于0%为有效报价；报价下浮率大于15%的需提供成本分析报告（成本分析报告需充分说明单价和费用的组成、降低成本的合理措施及在其他项目中应用过的经验，经评审通过后方可视为有效报价。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u w:val="single"/>
          <w:lang w:eastAsia="zh-CN"/>
        </w:rPr>
        <w:t>）</w:t>
      </w:r>
    </w:p>
    <w:p>
      <w:pPr>
        <w:rPr>
          <w:rFonts w:hint="eastAsia"/>
          <w:highlight w:val="none"/>
          <w:lang w:val="en-US" w:eastAsia="zh-CN"/>
        </w:rPr>
      </w:pPr>
    </w:p>
    <w:p>
      <w:pPr>
        <w:pStyle w:val="4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spacing w:line="360" w:lineRule="auto"/>
        <w:ind w:left="0" w:leftChars="0" w:firstLine="0" w:firstLineChars="0"/>
        <w:outlineLvl w:val="1"/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  <w:t>结算方式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pStyle w:val="8"/>
        <w:shd w:val="clear" w:color="auto" w:fill="auto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snapToGrid w:val="0"/>
          <w:color w:val="auto"/>
          <w:kern w:val="0"/>
          <w:sz w:val="24"/>
          <w:szCs w:val="24"/>
          <w:highlight w:val="none"/>
          <w:u w:val="none"/>
          <w:vertAlign w:val="baseli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napToGrid w:val="0"/>
          <w:color w:val="auto"/>
          <w:kern w:val="0"/>
          <w:sz w:val="24"/>
          <w:szCs w:val="24"/>
          <w:highlight w:val="none"/>
          <w:u w:val="none"/>
          <w:vertAlign w:val="baseline"/>
          <w:lang w:val="en-US" w:eastAsia="zh-CN" w:bidi="ar-SA"/>
        </w:rPr>
        <w:t>结算方式：本工程合同价总价包干。结算时总价包干部分，出合同约定可调整的情况外，结算不予调整，中标合同价款中的漏项、错项结算时视为已包括在其他子项报价中，不予调整。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80" w:lineRule="auto"/>
        <w:textAlignment w:val="auto"/>
        <w:rPr>
          <w:rFonts w:hint="default" w:asciiTheme="minorEastAsia" w:hAnsiTheme="minorEastAsia" w:eastAsiaTheme="minorEastAsia" w:cstheme="minorEastAsia"/>
          <w:b/>
          <w:bCs/>
          <w:i w:val="0"/>
          <w:i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五、分包要求</w:t>
      </w:r>
    </w:p>
    <w:p>
      <w:pPr>
        <w:pStyle w:val="10"/>
        <w:numPr>
          <w:ilvl w:val="0"/>
          <w:numId w:val="0"/>
        </w:numPr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default" w:ascii="Wingdings" w:hAnsi="Wingdings" w:cs="Wingdings"/>
          <w:sz w:val="24"/>
          <w:szCs w:val="24"/>
          <w:highlight w:val="none"/>
        </w:rPr>
        <w:sym w:font="Wingdings" w:char="00FE"/>
      </w:r>
      <w:r>
        <w:rPr>
          <w:rFonts w:hint="eastAsia"/>
          <w:sz w:val="24"/>
          <w:szCs w:val="24"/>
          <w:highlight w:val="none"/>
          <w:lang w:eastAsia="zh-CN"/>
        </w:rPr>
        <w:t>不允许分包</w:t>
      </w:r>
    </w:p>
    <w:p>
      <w:pPr>
        <w:pStyle w:val="10"/>
        <w:numPr>
          <w:ilvl w:val="0"/>
          <w:numId w:val="0"/>
        </w:numPr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default" w:ascii="Wingdings" w:hAnsi="Wingdings" w:cs="Wingdings"/>
          <w:sz w:val="24"/>
          <w:szCs w:val="24"/>
          <w:highlight w:val="none"/>
          <w:lang w:eastAsia="zh-CN"/>
        </w:rPr>
        <w:sym w:font="Wingdings" w:char="00A8"/>
      </w:r>
      <w:r>
        <w:rPr>
          <w:rFonts w:hint="eastAsia"/>
          <w:sz w:val="24"/>
          <w:szCs w:val="24"/>
          <w:highlight w:val="none"/>
          <w:lang w:eastAsia="zh-CN"/>
        </w:rPr>
        <w:t>允许分包，但必须符合以下要求：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before="157" w:beforeLines="50" w:after="157" w:afterLines="50" w:line="480" w:lineRule="auto"/>
        <w:textAlignment w:val="auto"/>
        <w:rPr>
          <w:rFonts w:hint="eastAsia" w:ascii="Wingdings" w:hAnsi="Wingdings" w:cs="Wingdings" w:eastAsiaTheme="minorEastAsia"/>
          <w:b/>
          <w:bCs/>
          <w:i w:val="0"/>
          <w:i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Wingdings" w:hAnsi="Wingdings" w:cs="Wingdings" w:eastAsiaTheme="minorEastAsia"/>
          <w:b/>
          <w:bCs/>
          <w:i w:val="0"/>
          <w:i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                           </w:t>
      </w:r>
    </w:p>
    <w:p>
      <w:pP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</w:pPr>
      <w:r>
        <w:rPr>
          <w:rFonts w:hint="default"/>
          <w:highlight w:val="none"/>
          <w:lang w:val="en-US" w:eastAsia="zh-CN"/>
        </w:rPr>
        <w:br w:type="page"/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技术标准、要求及图纸（对应招标文件 第五章）</w:t>
      </w:r>
    </w:p>
    <w:p>
      <w:pPr>
        <w:pStyle w:val="4"/>
        <w:spacing w:before="0" w:after="0" w:line="240" w:lineRule="auto"/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  <w:lang w:eastAsia="zh-CN"/>
        </w:rPr>
        <w:t>一、</w:t>
      </w: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  <w:t xml:space="preserve"> 管理规范和技术（规范）标准（</w:t>
      </w: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  <w:lang w:eastAsia="zh-CN"/>
        </w:rPr>
        <w:t>详见</w:t>
      </w: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  <w:t>合同附件）</w:t>
      </w:r>
    </w:p>
    <w:p>
      <w:pPr>
        <w:pStyle w:val="8"/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</w:pPr>
    </w:p>
    <w:p>
      <w:pPr>
        <w:pStyle w:val="4"/>
        <w:spacing w:before="0" w:after="0" w:line="240" w:lineRule="auto"/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  <w:lang w:eastAsia="zh-CN"/>
        </w:rPr>
        <w:t>二、</w:t>
      </w: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  <w:t>技术</w:t>
      </w: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  <w:lang w:val="en-US" w:eastAsia="zh-CN"/>
        </w:rPr>
        <w:t>及管理</w:t>
      </w: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  <w:t>要求</w:t>
      </w:r>
    </w:p>
    <w:p>
      <w:pPr>
        <w:autoSpaceDE w:val="0"/>
        <w:autoSpaceDN w:val="0"/>
        <w:adjustRightInd w:val="0"/>
        <w:rPr>
          <w:rFonts w:hint="eastAsia" w:asciiTheme="minorEastAsia" w:hAnsiTheme="minorEastAsia" w:eastAsiaTheme="minorEastAsia" w:cstheme="minorEastAsia"/>
          <w:i w:val="0"/>
          <w:iCs/>
          <w:color w:val="auto"/>
          <w:kern w:val="0"/>
          <w:sz w:val="24"/>
          <w:szCs w:val="24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kern w:val="0"/>
          <w:sz w:val="24"/>
          <w:szCs w:val="24"/>
          <w:highlight w:val="none"/>
          <w:lang w:val="zh-CN"/>
        </w:rPr>
        <w:t>（一）满足南方电网公司基建管理制度、建设单位的质量、环境和职业健康安全管理体系文件、其他有关制度和规定。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57" w:beforeLines="50" w:line="360" w:lineRule="auto"/>
        <w:ind w:leftChars="0"/>
        <w:textAlignment w:val="auto"/>
        <w:outlineLvl w:val="1"/>
        <w:rPr>
          <w:rFonts w:hint="eastAsia" w:asciiTheme="minorEastAsia" w:hAnsiTheme="minorEastAsia" w:eastAsiaTheme="minorEastAsia" w:cstheme="minorEastAsia"/>
          <w:b w:val="0"/>
          <w:bCs/>
          <w:i w:val="0"/>
          <w:iCs/>
          <w:color w:val="auto"/>
          <w:kern w:val="0"/>
          <w:sz w:val="24"/>
          <w:szCs w:val="24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i w:val="0"/>
          <w:iCs/>
          <w:color w:val="auto"/>
          <w:kern w:val="0"/>
          <w:sz w:val="24"/>
          <w:szCs w:val="24"/>
          <w:highlight w:val="none"/>
          <w:lang w:val="zh-CN"/>
        </w:rPr>
        <w:t>（二）符合图纸及技术文件的要求（如有，详见招标文件附件）。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57" w:beforeLines="50" w:line="360" w:lineRule="auto"/>
        <w:ind w:leftChars="0"/>
        <w:textAlignment w:val="auto"/>
        <w:outlineLvl w:val="1"/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  <w:t>（三）严格执行以下管理要求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kern w:val="0"/>
          <w:sz w:val="24"/>
          <w:szCs w:val="24"/>
          <w:highlight w:val="none"/>
          <w:lang w:val="en-US" w:eastAsia="zh-CN" w:bidi="ar-SA"/>
        </w:rPr>
        <w:t>根据《关于进一步加强网络安全“三同步”管控的通知》（广供电数部〔2025〕12号），本项目将严格按照公司网络管理制度，全量录入全域网络安全三同步管控系统进行管控 ，在项目可研阶段、采购阶段、详细设计阶段和验收阶段分别按照相关管控要求提交材料开展审核。</w:t>
      </w:r>
    </w:p>
    <w:p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vertAlign w:val="baseline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tLeas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</w:pPr>
      <w:bookmarkStart w:id="1" w:name="_GoBack"/>
      <w:bookmarkEnd w:id="1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A6993E1"/>
    <w:multiLevelType w:val="singleLevel"/>
    <w:tmpl w:val="EA6993E1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AEE20F8"/>
    <w:multiLevelType w:val="singleLevel"/>
    <w:tmpl w:val="EAEE20F8"/>
    <w:lvl w:ilvl="0" w:tentative="0">
      <w:start w:val="2"/>
      <w:numFmt w:val="chineseCounting"/>
      <w:suff w:val="nothing"/>
      <w:lvlText w:val="第%1部分."/>
      <w:lvlJc w:val="left"/>
      <w:rPr>
        <w:rFonts w:hint="eastAsia"/>
      </w:rPr>
    </w:lvl>
  </w:abstractNum>
  <w:abstractNum w:abstractNumId="2">
    <w:nsid w:val="0D7920FF"/>
    <w:multiLevelType w:val="singleLevel"/>
    <w:tmpl w:val="0D7920FF"/>
    <w:lvl w:ilvl="0" w:tentative="0">
      <w:start w:val="1"/>
      <w:numFmt w:val="chineseCounting"/>
      <w:suff w:val="nothing"/>
      <w:lvlText w:val="第%1部分.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F737D8"/>
    <w:rsid w:val="001270A5"/>
    <w:rsid w:val="007A4AD7"/>
    <w:rsid w:val="04A24F71"/>
    <w:rsid w:val="05823C28"/>
    <w:rsid w:val="076F3B3B"/>
    <w:rsid w:val="07CA37DF"/>
    <w:rsid w:val="0B4A6210"/>
    <w:rsid w:val="0BC07002"/>
    <w:rsid w:val="0E2F4C02"/>
    <w:rsid w:val="0E3616E0"/>
    <w:rsid w:val="0E394169"/>
    <w:rsid w:val="0F81532F"/>
    <w:rsid w:val="107144D2"/>
    <w:rsid w:val="116419AD"/>
    <w:rsid w:val="11DF6CFE"/>
    <w:rsid w:val="13383335"/>
    <w:rsid w:val="14440D4B"/>
    <w:rsid w:val="14781EB9"/>
    <w:rsid w:val="14B666F3"/>
    <w:rsid w:val="15056A61"/>
    <w:rsid w:val="17722603"/>
    <w:rsid w:val="183B34A8"/>
    <w:rsid w:val="18E57496"/>
    <w:rsid w:val="1A386933"/>
    <w:rsid w:val="1A4F176B"/>
    <w:rsid w:val="1B663F82"/>
    <w:rsid w:val="1C2D4629"/>
    <w:rsid w:val="1C43636C"/>
    <w:rsid w:val="1C8618B6"/>
    <w:rsid w:val="1D904223"/>
    <w:rsid w:val="1F653C49"/>
    <w:rsid w:val="1FF914D4"/>
    <w:rsid w:val="20735046"/>
    <w:rsid w:val="216F4D5B"/>
    <w:rsid w:val="21C11DC8"/>
    <w:rsid w:val="23B738BA"/>
    <w:rsid w:val="24E67795"/>
    <w:rsid w:val="24F737D8"/>
    <w:rsid w:val="2525523D"/>
    <w:rsid w:val="26EB3B6A"/>
    <w:rsid w:val="291D5E51"/>
    <w:rsid w:val="2BE07E0A"/>
    <w:rsid w:val="2CA17C08"/>
    <w:rsid w:val="2DDF66E3"/>
    <w:rsid w:val="2FF65FF8"/>
    <w:rsid w:val="300D195C"/>
    <w:rsid w:val="30BF37B5"/>
    <w:rsid w:val="313B0851"/>
    <w:rsid w:val="31A1649A"/>
    <w:rsid w:val="31C955A9"/>
    <w:rsid w:val="33B200AF"/>
    <w:rsid w:val="33C75702"/>
    <w:rsid w:val="33E61BE2"/>
    <w:rsid w:val="361736AD"/>
    <w:rsid w:val="36D200CF"/>
    <w:rsid w:val="379951F8"/>
    <w:rsid w:val="38382DC3"/>
    <w:rsid w:val="38DE045C"/>
    <w:rsid w:val="3987396D"/>
    <w:rsid w:val="3B595AEE"/>
    <w:rsid w:val="3BF24D81"/>
    <w:rsid w:val="3BFE7BEA"/>
    <w:rsid w:val="3C4750A3"/>
    <w:rsid w:val="3C4A35F1"/>
    <w:rsid w:val="41956442"/>
    <w:rsid w:val="420455E6"/>
    <w:rsid w:val="42E73C50"/>
    <w:rsid w:val="446737EE"/>
    <w:rsid w:val="44982260"/>
    <w:rsid w:val="44D414C9"/>
    <w:rsid w:val="46472D5E"/>
    <w:rsid w:val="48082DD5"/>
    <w:rsid w:val="48355C13"/>
    <w:rsid w:val="485D3F87"/>
    <w:rsid w:val="496A657E"/>
    <w:rsid w:val="49843C09"/>
    <w:rsid w:val="49B4370C"/>
    <w:rsid w:val="4B3A1BDA"/>
    <w:rsid w:val="4BF83760"/>
    <w:rsid w:val="4C312198"/>
    <w:rsid w:val="4C5B4768"/>
    <w:rsid w:val="4C8349B8"/>
    <w:rsid w:val="504766FD"/>
    <w:rsid w:val="552A0C96"/>
    <w:rsid w:val="55BB16B6"/>
    <w:rsid w:val="55C3156A"/>
    <w:rsid w:val="560A4CB8"/>
    <w:rsid w:val="5782183A"/>
    <w:rsid w:val="57BD355E"/>
    <w:rsid w:val="58D21C48"/>
    <w:rsid w:val="5A045E41"/>
    <w:rsid w:val="5B0320E2"/>
    <w:rsid w:val="5B8B11A7"/>
    <w:rsid w:val="5B9E2EC4"/>
    <w:rsid w:val="5CD10D7E"/>
    <w:rsid w:val="60002310"/>
    <w:rsid w:val="608606DE"/>
    <w:rsid w:val="610E324A"/>
    <w:rsid w:val="61F31EFD"/>
    <w:rsid w:val="63066BC7"/>
    <w:rsid w:val="63D0487B"/>
    <w:rsid w:val="64672037"/>
    <w:rsid w:val="64911DA0"/>
    <w:rsid w:val="65945D8D"/>
    <w:rsid w:val="66AD6C48"/>
    <w:rsid w:val="66C35559"/>
    <w:rsid w:val="67D57489"/>
    <w:rsid w:val="68570F93"/>
    <w:rsid w:val="6A287B5E"/>
    <w:rsid w:val="6B303A1A"/>
    <w:rsid w:val="6C704794"/>
    <w:rsid w:val="6DAA2FDF"/>
    <w:rsid w:val="6DF95579"/>
    <w:rsid w:val="6E121228"/>
    <w:rsid w:val="6F8447F5"/>
    <w:rsid w:val="70D1495F"/>
    <w:rsid w:val="70ED510D"/>
    <w:rsid w:val="712F63C0"/>
    <w:rsid w:val="723140CF"/>
    <w:rsid w:val="72717CD1"/>
    <w:rsid w:val="743E1546"/>
    <w:rsid w:val="74614F7E"/>
    <w:rsid w:val="74695E39"/>
    <w:rsid w:val="754C6F3B"/>
    <w:rsid w:val="75B11AFF"/>
    <w:rsid w:val="75D32619"/>
    <w:rsid w:val="76307412"/>
    <w:rsid w:val="768D126A"/>
    <w:rsid w:val="780B6A75"/>
    <w:rsid w:val="78EE29DD"/>
    <w:rsid w:val="79F83E18"/>
    <w:rsid w:val="7CED7DC5"/>
    <w:rsid w:val="7D0F76D8"/>
    <w:rsid w:val="7E3420E0"/>
    <w:rsid w:val="7F1B3618"/>
    <w:rsid w:val="BE1E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32"/>
    </w:rPr>
  </w:style>
  <w:style w:type="paragraph" w:styleId="4">
    <w:name w:val="heading 2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120"/>
      <w:jc w:val="both"/>
    </w:pPr>
    <w:rPr>
      <w:lang w:val="en-US" w:eastAsia="zh-CN"/>
    </w:rPr>
  </w:style>
  <w:style w:type="paragraph" w:styleId="5">
    <w:name w:val="Normal Indent"/>
    <w:basedOn w:val="1"/>
    <w:qFormat/>
    <w:uiPriority w:val="0"/>
    <w:pPr>
      <w:ind w:firstLine="420"/>
    </w:pPr>
    <w:rPr>
      <w:rFonts w:ascii="Times New Roman" w:hAnsi="Times New Roman" w:cs="Times New Roman"/>
      <w:kern w:val="0"/>
      <w:sz w:val="20"/>
      <w:szCs w:val="20"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 Indent"/>
    <w:basedOn w:val="1"/>
    <w:qFormat/>
    <w:uiPriority w:val="0"/>
    <w:pPr>
      <w:spacing w:after="120"/>
      <w:ind w:left="420" w:leftChars="200"/>
    </w:pPr>
  </w:style>
  <w:style w:type="paragraph" w:styleId="8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paragraph" w:styleId="9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10">
    <w:name w:val="Body Text First Indent"/>
    <w:basedOn w:val="2"/>
    <w:qFormat/>
    <w:uiPriority w:val="0"/>
    <w:pPr>
      <w:keepNext w:val="0"/>
      <w:keepLines w:val="0"/>
      <w:widowControl w:val="0"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Lines="50" w:beforeAutospacing="0" w:afterLines="50" w:afterAutospacing="0" w:line="360" w:lineRule="auto"/>
      <w:ind w:firstLine="200" w:firstLineChars="200"/>
      <w:jc w:val="both"/>
    </w:pPr>
    <w:rPr>
      <w:rFonts w:hint="default" w:ascii="Times New Roman" w:hAnsi="Times New Roman" w:eastAsia="宋体" w:cs="Times New Roman"/>
      <w:kern w:val="2"/>
      <w:sz w:val="24"/>
      <w:szCs w:val="24"/>
      <w:lang w:val="en-US" w:eastAsia="zh-CN" w:bidi="ar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15">
    <w:name w:val="正文首行缩进1"/>
    <w:basedOn w:val="1"/>
    <w:qFormat/>
    <w:uiPriority w:val="0"/>
    <w:pPr>
      <w:spacing w:line="360" w:lineRule="auto"/>
      <w:ind w:firstLine="200" w:firstLineChars="200"/>
    </w:pPr>
    <w:rPr>
      <w:kern w:val="2"/>
      <w:sz w:val="24"/>
      <w:szCs w:val="24"/>
    </w:rPr>
  </w:style>
  <w:style w:type="character" w:customStyle="1" w:styleId="16">
    <w:name w:val="font11"/>
    <w:basedOn w:val="1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2021-02-24T15:45:00Z</dcterms:created>
  <dc:creator>maja</dc:creator>
  <cp:lastModifiedBy>Administrator</cp:lastModifiedBy>
  <cp:lastPrinted>2025-12-08T04:01:00Z</cp:lastPrinted>
  <dcterms:modified xsi:type="dcterms:W3CDTF">2025-12-24T07:39:27Z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EDF1AA3B88D44F0F8FEC517A4732750F</vt:lpwstr>
  </property>
</Properties>
</file>