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bidi="ar-SA"/>
        </w:rPr>
        <w:t>基于人工智能大模型的智能评审技术研究</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187"/>
        <w:gridCol w:w="5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187"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846"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1"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187"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84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《关于下达公司2025年依托工程基建新技术研究项目的通知》办输配电〔2025〕68号，依托工程：广州海珠站配套220千伏出线工程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5"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187"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84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《关于下达公司2025年依托工程基建新技术研究项目的通知》办输配电〔2025〕68号，依托工程：广州海珠站配套220千伏出线工程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187"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84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187"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84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 海珠 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5"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187"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84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default" w:ascii="宋体" w:hAnsi="宋体" w:eastAsia="宋体" w:cs="宋体"/>
                <w:bCs/>
                <w:color w:val="auto"/>
                <w:kern w:val="0"/>
                <w:sz w:val="21"/>
                <w:szCs w:val="21"/>
                <w:highlight w:val="none"/>
                <w:u w:val="no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合同签订之日起至2027年6月30日，实际服务期以委托函上载明的时间为准。</w:t>
            </w:r>
          </w:p>
        </w:tc>
      </w:tr>
    </w:tbl>
    <w:p>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u w:val="single"/>
          <w:lang w:val="en-US" w:eastAsia="zh-CN"/>
        </w:rPr>
        <w:t>本项目通过梳理主网项目评审专家思维链路，从数据解析、评审要点审查、辅助工具应用、评审成果输出四个维度进行开展，采用大模型+智能体+检索增强+提示词工程的技术，从送审文本内获取关键技术指标内容，结合输变电工程评审行业标准、各专业评审要点、专家评审思维和专业计算验证，通过RAG检索增强及提示词工程建设，加强电力行业大模型的知识理解、知识记忆、知识推理能力，最终构建智能评审技术内容。本项目首次将大模型相关语义理解、数据提取、数据推理分析、专业审查计算等相关技术运用在输变电工程各阶段评审中，推出输变电工程智能评审新手段及新模式。整个项目交付成果为“《基于人工智能大模型的智能评审技术研究报告》1份”、“发明专利10项”、“科技核心期刊或EI检索及以上论文4篇”、“软件著作权1份”、“基于人工智能大模型的评审智能体”、“基于广州电网项目评审辅助决策智能评审系统的大模型技术智能审查融合应用”以及“6个专业计算小程序”。</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执行《南方电网公司基建工程设计管理控制文件》及广州供电局有限公司相关文件要求，满足国家、南方电网公司的质量标准、控制标准和验收规范，在质量管理过程中达到或超过质量标准。</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1、基于大模型的输变电工程各专业评审知识库训练研究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深入研究大模型的知识库构建方法，全面收集行业、南网、公司通用资料，针对审查的评审细则、规程规范、强条、反措执行情况、标准设计方案等数据内容构建多层级知识库，对数据进行清洗、筛选和整理，去除重复、错误和不相关的信息，采用文本分词、词性标注等手段对数据进行训练，使其准确理解识别评审专业知识库内容，将训练的模型应用于输变电工程评审行业知识表达，将复杂的电力评审概念和关系转化为低维且富有表现力的向量形式，实现对输变电工程各专业评审知识库的检索、查询、推理和应用。构建面向输变电工程各专业评审知识库，面向检索的高效、精准的需求，再构建知识库层级，需收集完整的评审知识内容，并对知识进行切片向量处理，并通过业务选取、向量检索、全文检索或混合检索的模式对其片段召回进行系统化测试，保证数据的准确性，以支撑各业务专家的智能问题应用。</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2、基于大模型的输变电工程关键技术指标获取及存储研究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研究</w:t>
      </w: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基于大模型技术手段对送审资料内的</w:t>
      </w:r>
      <w:r>
        <w:rPr>
          <w:rFonts w:hint="default"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技术指标、工程量指标和技经指标的自动抽取</w:t>
      </w: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，针对项目信息识别和抽取依赖人工的问题，研究基于自然语言技术的项目关键信息抽取模型构建，通过训练样本和公司智算资源实现对广州地区输变电项目信息快速获取。</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为提高识别提取的准确性，需开展大模型技术路线下的提示词工程建设，收集电气一次、电气二次、变电土建、线路专业、技经专业、系统等全专业的评审专业词汇内容，形成评审关键指标数据库，并结合设计文件梳理各个指标常见的来源章节以辅助模型精准找到指标，通过业务分析各指标的常见语境与结构，开展有针对性的提示词工程建设，通过提示词优化不断提升模型指标提取准确率。此外，通过评审业务归档关键指标数据内容，将指标与项目信息、建设规模、设计条件等标签绑定，利于仓储数据库概念将指标内容分类存储，构建不同层级、不同类型的关键指标结构化数据内容，支撑大模型对数据的推理应用。</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3、基于大模型的输变电工程智能评审应用研究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以广州局数字化部已有AI硬件及API调用资源为基础，同步数据接口中获取送审资料内容，自动获取评审关键指标数据与预审要点、评审要点进行自动对比分析，自动识别数据错误及矛盾点。识别报告中的关键数据，对报告中的数据进行校验，发现潜在的数据错误或矛盾之处，并实时记录评审意见和会议纪要。系统自动汇总和生成评审意见，形成评审意见报告。此外，利用基于自然语言项目评审模型作为知识共享的工具。评审专家可以通过与基于自然语言项目评审模型进行交互问答，获取专业知识和决策支持为评审专家提供精准的解答和建议。实现预审环节自动审查、评审环节要点自动审核、评审成果自动生成以及技术智能问答。</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4、研究设计各阶段内各专业计算小程序审查模型</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为提高审查效率及审查质量，提供独立计算小程序功能，获取项目信息、指标内容和专家补充的数据内容，自动计算出工程量，且可进行对比分析，辅助专家对当前送审工程进行评价，节省专家汇总数据、手动计算的工作时间，提高评审效率。</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5、针对评审要点动态更新机制研究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b w:val="0"/>
          <w:bCs w:val="0"/>
          <w:lang w:val="en-US" w:eastAsia="zh-CN"/>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为保证评审要点的实时性和合规性，依托智能评审中归档形成的问题库，基于原有系统内的评审规则库，研究预审要点、评审要点的动态更新机制。将审查过程中发现的问题与评审规则及管理要求结合，基于评审要点判断的逻辑顺序，梳理及归整送审文件命名的规则、说明书章节的层级逻辑关系、说明书内段落的关键字、说明书表格的层级和规范，形成配置化的属性信息，构建预审要点和评审要点的交互模式，实现评审要点的可视化配置，从而自动实现对评审规则库的更新。</w:t>
      </w:r>
    </w:p>
    <w:p>
      <w:pPr>
        <w:pStyle w:val="4"/>
        <w:keepNext w:val="0"/>
        <w:keepLines w:val="0"/>
        <w:pageBreakBefore w:val="0"/>
        <w:numPr>
          <w:ilvl w:val="0"/>
          <w:numId w:val="2"/>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报价表及报价要求</w:t>
      </w:r>
    </w:p>
    <w:tbl>
      <w:tblPr>
        <w:tblStyle w:val="11"/>
        <w:tblpPr w:leftFromText="180" w:rightFromText="180" w:vertAnchor="text" w:horzAnchor="page" w:tblpX="1352" w:tblpY="66"/>
        <w:tblOverlap w:val="never"/>
        <w:tblW w:w="86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2232"/>
        <w:gridCol w:w="1900"/>
        <w:gridCol w:w="1064"/>
        <w:gridCol w:w="1280"/>
        <w:gridCol w:w="14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8" w:hRule="atLeast"/>
        </w:trPr>
        <w:tc>
          <w:tcPr>
            <w:tcW w:w="651"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2232"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工程或费用名称</w:t>
            </w:r>
          </w:p>
        </w:tc>
        <w:tc>
          <w:tcPr>
            <w:tcW w:w="190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最高投标限价</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（元）</w:t>
            </w:r>
          </w:p>
        </w:tc>
        <w:tc>
          <w:tcPr>
            <w:tcW w:w="106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投标下浮率</w:t>
            </w:r>
          </w:p>
        </w:tc>
        <w:tc>
          <w:tcPr>
            <w:tcW w:w="12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投标报价</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（元）</w:t>
            </w:r>
          </w:p>
        </w:tc>
        <w:tc>
          <w:tcPr>
            <w:tcW w:w="1479" w:type="dxa"/>
            <w:tcBorders>
              <w:top w:val="single" w:color="000000" w:sz="4" w:space="0"/>
              <w:left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auto"/>
              <w:jc w:val="center"/>
              <w:rPr>
                <w:rFonts w:hint="eastAsia"/>
              </w:rPr>
            </w:pPr>
            <w:r>
              <w:rPr>
                <w:rFonts w:hint="eastAsia" w:ascii="宋体" w:hAnsi="宋体" w:eastAsia="宋体" w:cs="宋体"/>
                <w:i w:val="0"/>
                <w:iCs w:val="0"/>
                <w:color w:val="000000"/>
                <w:kern w:val="0"/>
                <w:sz w:val="20"/>
                <w:szCs w:val="20"/>
                <w:highlight w:val="none"/>
                <w:u w:val="none"/>
                <w:lang w:val="en-US" w:eastAsia="zh-CN" w:bidi="ar"/>
              </w:rPr>
              <w:t>基于人工智能大模型的智能评审技术研究</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4175000</w:t>
            </w:r>
          </w:p>
        </w:tc>
        <w:tc>
          <w:tcPr>
            <w:tcW w:w="1064"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28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合计（小写）：</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4175000</w:t>
            </w:r>
          </w:p>
        </w:tc>
        <w:tc>
          <w:tcPr>
            <w:tcW w:w="1064" w:type="dxa"/>
            <w:vMerge w:val="continue"/>
            <w:tcBorders>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highlight w:val="none"/>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highlight w:val="none"/>
                <w:u w:val="none"/>
              </w:rPr>
            </w:pPr>
          </w:p>
        </w:tc>
      </w:tr>
    </w:tbl>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7"/>
        <w:numPr>
          <w:ilvl w:val="0"/>
          <w:numId w:val="3"/>
        </w:numPr>
        <w:ind w:firstLine="482" w:firstLineChars="200"/>
        <w:jc w:val="left"/>
        <w:rPr>
          <w:rFonts w:hint="eastAsia"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rPr>
        <w:t>按下浮率报价（保留两位小数，如8.88%），同时填报投标报价（投标报价=最高投标限价*（1-投标下浮率），四舍五入保留两位小数）。当投标报价与投标下浮率计算结果不一致时，以投标下浮率为准，按上述公式修订投标报价。</w:t>
      </w:r>
    </w:p>
    <w:p>
      <w:pPr>
        <w:pStyle w:val="7"/>
        <w:numPr>
          <w:ilvl w:val="0"/>
          <w:numId w:val="0"/>
        </w:numPr>
        <w:ind w:firstLine="482" w:firstLineChars="200"/>
        <w:jc w:val="left"/>
        <w:rPr>
          <w:highlight w:val="none"/>
        </w:rPr>
      </w:pPr>
      <w:r>
        <w:rPr>
          <w:rFonts w:hint="eastAsia" w:ascii="宋体" w:hAnsi="宋体" w:eastAsia="宋体" w:cs="宋体"/>
          <w:color w:val="auto"/>
          <w:kern w:val="2"/>
          <w:sz w:val="24"/>
          <w:szCs w:val="24"/>
          <w:highlight w:val="none"/>
          <w:u w:val="single"/>
          <w:lang w:val="en-US" w:eastAsia="zh-CN"/>
        </w:rPr>
        <w:t>2.投标下浮率不低于0%为有效报价；当投标下浮率＞15%时应附成本分析报告，充分说明单价和费用的组成、降低成本的合理措施及在其他工程中应用过的经验等，经评审通过后方可视为有效报价。</w:t>
      </w:r>
    </w:p>
    <w:p>
      <w:pPr>
        <w:pStyle w:val="4"/>
        <w:keepNext w:val="0"/>
        <w:keepLines w:val="0"/>
        <w:pageBreakBefore w:val="0"/>
        <w:numPr>
          <w:ilvl w:val="0"/>
          <w:numId w:val="0"/>
        </w:numPr>
        <w:kinsoku/>
        <w:wordWrap/>
        <w:overflowPunct/>
        <w:topLinePunct w:val="0"/>
        <w:bidi w:val="0"/>
        <w:spacing w:line="360" w:lineRule="auto"/>
        <w:ind w:leftChars="0" w:firstLine="482" w:firstLineChars="200"/>
        <w:outlineLvl w:val="1"/>
        <w:rPr>
          <w:rFonts w:hint="eastAsia" w:ascii="宋体" w:hAnsi="宋体" w:eastAsia="宋体" w:cs="宋体"/>
          <w:b/>
          <w:bCs/>
          <w:i w:val="0"/>
          <w:color w:val="auto"/>
          <w:kern w:val="2"/>
          <w:sz w:val="24"/>
          <w:szCs w:val="24"/>
          <w:highlight w:val="none"/>
          <w:lang w:val="en-US" w:eastAsia="zh-CN" w:bidi="ar-SA"/>
        </w:rPr>
      </w:pPr>
      <w:bookmarkStart w:id="1" w:name="_GoBack"/>
      <w:bookmarkEnd w:id="1"/>
      <w:r>
        <w:rPr>
          <w:rFonts w:hint="eastAsia" w:ascii="宋体" w:hAnsi="宋体" w:eastAsia="宋体" w:cs="宋体"/>
          <w:color w:val="auto"/>
          <w:kern w:val="2"/>
          <w:sz w:val="24"/>
          <w:szCs w:val="24"/>
          <w:highlight w:val="none"/>
          <w:u w:val="single"/>
          <w:lang w:val="en-US" w:eastAsia="zh-CN"/>
        </w:rPr>
        <w:t>3</w:t>
      </w:r>
      <w:r>
        <w:rPr>
          <w:rFonts w:hint="eastAsia" w:ascii="宋体" w:hAnsi="宋体" w:eastAsia="宋体" w:cs="宋体"/>
          <w:i w:val="0"/>
          <w:iCs/>
          <w:color w:val="auto"/>
          <w:kern w:val="2"/>
          <w:sz w:val="24"/>
          <w:szCs w:val="24"/>
          <w:highlight w:val="none"/>
          <w:u w:val="single"/>
          <w:lang w:val="en-US" w:eastAsia="zh-CN"/>
        </w:rPr>
        <w:t>.</w:t>
      </w:r>
      <w:r>
        <w:rPr>
          <w:rFonts w:hint="eastAsia" w:ascii="宋体" w:hAnsi="宋体" w:eastAsia="宋体" w:cs="宋体"/>
          <w:i w:val="0"/>
          <w:iCs/>
          <w:color w:val="auto"/>
          <w:kern w:val="2"/>
          <w:sz w:val="24"/>
          <w:szCs w:val="24"/>
          <w:highlight w:val="none"/>
          <w:u w:val="single"/>
        </w:rPr>
        <w:t>价格分计算时，投标人评标价按（100-投标人填写的下浮数值）参与计算。如：下浮率为1.88％时，评标价按（100-1.88）参与计算。</w:t>
      </w:r>
    </w:p>
    <w:p>
      <w:pPr>
        <w:rPr>
          <w:rFonts w:hint="eastAsia"/>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2"/>
        <w:numPr>
          <w:ilvl w:val="0"/>
          <w:numId w:val="0"/>
        </w:numPr>
        <w:adjustRightInd w:val="0"/>
        <w:snapToGrid w:val="0"/>
        <w:spacing w:line="560" w:lineRule="exact"/>
        <w:ind w:leftChars="0" w:firstLine="480" w:firstLineChars="200"/>
        <w:rPr>
          <w:rFonts w:hint="eastAsia" w:asciiTheme="minorEastAsia" w:hAnsiTheme="minorEastAsia" w:eastAsiaTheme="minorEastAsia" w:cstheme="minorEastAsia"/>
          <w:color w:val="000000"/>
          <w:kern w:val="2"/>
          <w:sz w:val="24"/>
          <w:szCs w:val="24"/>
          <w:u w:val="single"/>
          <w:lang w:val="en-US" w:eastAsia="zh-CN" w:bidi="ar-SA"/>
        </w:rPr>
      </w:pPr>
      <w:r>
        <w:rPr>
          <w:rFonts w:hint="eastAsia" w:asciiTheme="minorEastAsia" w:hAnsiTheme="minorEastAsia" w:eastAsiaTheme="minorEastAsia" w:cstheme="minorEastAsia"/>
          <w:b w:val="0"/>
          <w:color w:val="000000"/>
          <w:kern w:val="2"/>
          <w:sz w:val="24"/>
          <w:szCs w:val="24"/>
          <w:u w:val="single"/>
          <w:lang w:val="en-US" w:eastAsia="zh-CN" w:bidi="ar-SA"/>
        </w:rPr>
        <w:t>相应阶段结算价=最高投标限价 ×（1-中标下浮率）。</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pPr>
        <w:pStyle w:val="2"/>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pPr>
        <w:rPr>
          <w:rFonts w:hint="eastAsia" w:ascii="宋体" w:hAnsi="宋体" w:eastAsia="宋体" w:cs="宋体"/>
          <w:color w:val="auto"/>
          <w:sz w:val="24"/>
          <w:szCs w:val="24"/>
          <w:highlight w:val="none"/>
          <w:u w:val="singl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C93A0"/>
    <w:multiLevelType w:val="singleLevel"/>
    <w:tmpl w:val="DAAC93A0"/>
    <w:lvl w:ilvl="0" w:tentative="0">
      <w:start w:val="1"/>
      <w:numFmt w:val="decimal"/>
      <w:suff w:val="space"/>
      <w:lvlText w:val="%1."/>
      <w:lvlJc w:val="left"/>
    </w:lvl>
  </w:abstractNum>
  <w:abstractNum w:abstractNumId="1">
    <w:nsid w:val="EA6993E1"/>
    <w:multiLevelType w:val="singleLevel"/>
    <w:tmpl w:val="EA6993E1"/>
    <w:lvl w:ilvl="0" w:tentative="0">
      <w:start w:val="3"/>
      <w:numFmt w:val="chineseCounting"/>
      <w:suff w:val="nothing"/>
      <w:lvlText w:val="%1、"/>
      <w:lvlJc w:val="left"/>
      <w:rPr>
        <w:rFonts w:hint="eastAsia"/>
      </w:rPr>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4A24F71"/>
    <w:rsid w:val="076F3B3B"/>
    <w:rsid w:val="07CA37DF"/>
    <w:rsid w:val="08AD3B95"/>
    <w:rsid w:val="0B4A6210"/>
    <w:rsid w:val="0BC07002"/>
    <w:rsid w:val="0BEF6AA6"/>
    <w:rsid w:val="0E2F4C02"/>
    <w:rsid w:val="0E3616E0"/>
    <w:rsid w:val="0E394169"/>
    <w:rsid w:val="0F81532F"/>
    <w:rsid w:val="107144D2"/>
    <w:rsid w:val="116419AD"/>
    <w:rsid w:val="11DF6CFE"/>
    <w:rsid w:val="12A5526C"/>
    <w:rsid w:val="13383335"/>
    <w:rsid w:val="14440D4B"/>
    <w:rsid w:val="14781EB9"/>
    <w:rsid w:val="14B666F3"/>
    <w:rsid w:val="14C05772"/>
    <w:rsid w:val="15056A61"/>
    <w:rsid w:val="17722603"/>
    <w:rsid w:val="18E57496"/>
    <w:rsid w:val="1A386933"/>
    <w:rsid w:val="1A4F176B"/>
    <w:rsid w:val="1B663F82"/>
    <w:rsid w:val="1C2D4629"/>
    <w:rsid w:val="1C43636C"/>
    <w:rsid w:val="1C8618B6"/>
    <w:rsid w:val="1D904223"/>
    <w:rsid w:val="1ECF19DA"/>
    <w:rsid w:val="1F653C49"/>
    <w:rsid w:val="1FF914D4"/>
    <w:rsid w:val="20735046"/>
    <w:rsid w:val="216F4D5B"/>
    <w:rsid w:val="21C11DC8"/>
    <w:rsid w:val="23B738BA"/>
    <w:rsid w:val="248012A4"/>
    <w:rsid w:val="24E67795"/>
    <w:rsid w:val="24F737D8"/>
    <w:rsid w:val="2525523D"/>
    <w:rsid w:val="25990992"/>
    <w:rsid w:val="26EB3B6A"/>
    <w:rsid w:val="28A97D87"/>
    <w:rsid w:val="28C43A7C"/>
    <w:rsid w:val="291D5E51"/>
    <w:rsid w:val="2BE07E0A"/>
    <w:rsid w:val="2CA17C08"/>
    <w:rsid w:val="2D7D1CB5"/>
    <w:rsid w:val="2DD413FE"/>
    <w:rsid w:val="2DDF66E3"/>
    <w:rsid w:val="2FF65FF8"/>
    <w:rsid w:val="300D195C"/>
    <w:rsid w:val="30BF37B5"/>
    <w:rsid w:val="313B0851"/>
    <w:rsid w:val="31A1649A"/>
    <w:rsid w:val="31C955A9"/>
    <w:rsid w:val="33B200AF"/>
    <w:rsid w:val="33C75702"/>
    <w:rsid w:val="33E61BE2"/>
    <w:rsid w:val="361736AD"/>
    <w:rsid w:val="36D200CF"/>
    <w:rsid w:val="37095144"/>
    <w:rsid w:val="379951F8"/>
    <w:rsid w:val="38382DC3"/>
    <w:rsid w:val="38DE045C"/>
    <w:rsid w:val="3987396D"/>
    <w:rsid w:val="3B595AEE"/>
    <w:rsid w:val="3BF24D81"/>
    <w:rsid w:val="3BFE7BEA"/>
    <w:rsid w:val="3C4750A3"/>
    <w:rsid w:val="3C4A35F1"/>
    <w:rsid w:val="420455E6"/>
    <w:rsid w:val="422A3F14"/>
    <w:rsid w:val="42E73C50"/>
    <w:rsid w:val="433517D1"/>
    <w:rsid w:val="43682862"/>
    <w:rsid w:val="44982260"/>
    <w:rsid w:val="44D414C9"/>
    <w:rsid w:val="451343A0"/>
    <w:rsid w:val="46472D5E"/>
    <w:rsid w:val="469B0CD2"/>
    <w:rsid w:val="485D3F87"/>
    <w:rsid w:val="496A657E"/>
    <w:rsid w:val="49843C09"/>
    <w:rsid w:val="4B3A1BDA"/>
    <w:rsid w:val="4BDE15ED"/>
    <w:rsid w:val="4BF83760"/>
    <w:rsid w:val="4C5B4768"/>
    <w:rsid w:val="4C8349B8"/>
    <w:rsid w:val="4F5A2A17"/>
    <w:rsid w:val="504766FD"/>
    <w:rsid w:val="54471B54"/>
    <w:rsid w:val="552A0C96"/>
    <w:rsid w:val="55641C53"/>
    <w:rsid w:val="55BB16B6"/>
    <w:rsid w:val="55C3156A"/>
    <w:rsid w:val="560A4CB8"/>
    <w:rsid w:val="578178F5"/>
    <w:rsid w:val="5782183A"/>
    <w:rsid w:val="57BD355E"/>
    <w:rsid w:val="585A2248"/>
    <w:rsid w:val="58D21C48"/>
    <w:rsid w:val="5A5A1746"/>
    <w:rsid w:val="5B0320E2"/>
    <w:rsid w:val="5B8B11A7"/>
    <w:rsid w:val="5B9E2EC4"/>
    <w:rsid w:val="5CD10D7E"/>
    <w:rsid w:val="60002310"/>
    <w:rsid w:val="608606DE"/>
    <w:rsid w:val="610E324A"/>
    <w:rsid w:val="61F31EFD"/>
    <w:rsid w:val="62D868AC"/>
    <w:rsid w:val="63066BC7"/>
    <w:rsid w:val="63D0487B"/>
    <w:rsid w:val="64672037"/>
    <w:rsid w:val="64911DA0"/>
    <w:rsid w:val="65033347"/>
    <w:rsid w:val="65945D8D"/>
    <w:rsid w:val="661A56F4"/>
    <w:rsid w:val="66C35559"/>
    <w:rsid w:val="67D57489"/>
    <w:rsid w:val="68570F93"/>
    <w:rsid w:val="68EE188F"/>
    <w:rsid w:val="6A287B5E"/>
    <w:rsid w:val="6AEE3745"/>
    <w:rsid w:val="6B303A1A"/>
    <w:rsid w:val="6C704794"/>
    <w:rsid w:val="6DAA2FDF"/>
    <w:rsid w:val="6DF95579"/>
    <w:rsid w:val="6E121228"/>
    <w:rsid w:val="6EE7250B"/>
    <w:rsid w:val="6F8447F5"/>
    <w:rsid w:val="70D1495F"/>
    <w:rsid w:val="70ED510D"/>
    <w:rsid w:val="712F63C0"/>
    <w:rsid w:val="71933077"/>
    <w:rsid w:val="72717CD1"/>
    <w:rsid w:val="729E3B65"/>
    <w:rsid w:val="743E1546"/>
    <w:rsid w:val="74614F7E"/>
    <w:rsid w:val="74695E39"/>
    <w:rsid w:val="754C6F3B"/>
    <w:rsid w:val="75B11AFF"/>
    <w:rsid w:val="75D32619"/>
    <w:rsid w:val="76307412"/>
    <w:rsid w:val="768D126A"/>
    <w:rsid w:val="780B6A75"/>
    <w:rsid w:val="79A4538B"/>
    <w:rsid w:val="79F83E18"/>
    <w:rsid w:val="7C501893"/>
    <w:rsid w:val="7CED7DC5"/>
    <w:rsid w:val="7D0F76D8"/>
    <w:rsid w:val="7E2937C9"/>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next w:val="6"/>
    <w:qFormat/>
    <w:uiPriority w:val="0"/>
    <w:pPr>
      <w:ind w:firstLine="420"/>
    </w:pPr>
    <w:rPr>
      <w:rFonts w:ascii="Times New Roman" w:hAnsi="Times New Roman" w:cs="Times New Roman"/>
      <w:kern w:val="0"/>
      <w:sz w:val="20"/>
      <w:szCs w:val="20"/>
    </w:r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 w:type="paragraph" w:customStyle="1" w:styleId="17">
    <w:name w:val="文字"/>
    <w:basedOn w:val="1"/>
    <w:qFormat/>
    <w:uiPriority w:val="0"/>
    <w:pPr>
      <w:spacing w:line="440" w:lineRule="exact"/>
      <w:ind w:firstLine="480" w:firstLineChars="200"/>
    </w:pPr>
    <w:rPr>
      <w:rFonts w:ascii="Times New Roman" w:hAnsi="Times New Roman"/>
      <w:sz w:val="24"/>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2025-12-24T08:02:38Z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7FE89E50DE6A47018C7AB9F3C43FD158_13</vt:lpwstr>
  </property>
</Properties>
</file>