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32"/>
          <w:szCs w:val="32"/>
          <w:highlight w:val="none"/>
          <w:u w:val="none"/>
          <w:lang w:val="en-US" w:eastAsia="zh-CN"/>
        </w:rPr>
      </w:pPr>
      <w:bookmarkStart w:id="0" w:name="_Toc8445"/>
      <w:r>
        <w:rPr>
          <w:rFonts w:hint="eastAsia" w:asciiTheme="minorEastAsia" w:hAnsiTheme="minorEastAsia" w:eastAsiaTheme="minorEastAsia" w:cstheme="minorEastAsia"/>
          <w:b/>
          <w:bCs/>
          <w:snapToGrid w:val="0"/>
          <w:color w:val="auto"/>
          <w:kern w:val="0"/>
          <w:sz w:val="32"/>
          <w:szCs w:val="32"/>
          <w:highlight w:val="none"/>
          <w:u w:val="none"/>
          <w:lang w:val="en-US" w:eastAsia="zh-CN"/>
        </w:rPr>
        <w:t>附件A.项目信息清单</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r>
        <w:rPr>
          <w:rFonts w:hint="eastAsia" w:asciiTheme="minorEastAsia" w:hAnsiTheme="minorEastAsia" w:eastAsiaTheme="minorEastAsia" w:cstheme="minorEastAsia"/>
          <w:b/>
          <w:bCs/>
          <w:snapToGrid w:val="0"/>
          <w:color w:val="auto"/>
          <w:kern w:val="0"/>
          <w:sz w:val="28"/>
          <w:szCs w:val="28"/>
          <w:highlight w:val="none"/>
          <w:u w:val="single"/>
          <w:lang w:val="en-US" w:eastAsia="zh-CN"/>
        </w:rPr>
        <w:t>广州供电局2025-2027年随轨共建电力廊道土建及结构关键技术研究项目</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p>
    <w:bookmarkEnd w:id="0"/>
    <w:p>
      <w:pPr>
        <w:pStyle w:val="2"/>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项目信息</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hAnsi="宋体" w:cs="宋体"/>
          <w:b/>
          <w:bCs/>
          <w:snapToGrid w:val="0"/>
          <w:color w:val="auto"/>
          <w:kern w:val="0"/>
          <w:sz w:val="24"/>
          <w:szCs w:val="24"/>
          <w:highlight w:val="none"/>
          <w:u w:val="none"/>
          <w:lang w:val="en-US" w:eastAsia="zh-CN"/>
        </w:rPr>
        <w:t>招标前期资料</w:t>
      </w:r>
    </w:p>
    <w:tbl>
      <w:tblPr>
        <w:tblStyle w:val="12"/>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3783"/>
        <w:gridCol w:w="5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jc w:val="center"/>
        </w:trPr>
        <w:tc>
          <w:tcPr>
            <w:tcW w:w="776" w:type="dxa"/>
            <w:noWrap w:val="0"/>
            <w:vAlign w:val="top"/>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序号</w:t>
            </w:r>
          </w:p>
        </w:tc>
        <w:tc>
          <w:tcPr>
            <w:tcW w:w="3783" w:type="dxa"/>
            <w:noWrap w:val="0"/>
            <w:vAlign w:val="top"/>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文件名称</w:t>
            </w:r>
          </w:p>
        </w:tc>
        <w:tc>
          <w:tcPr>
            <w:tcW w:w="5250" w:type="dxa"/>
            <w:noWrap w:val="0"/>
            <w:vAlign w:val="top"/>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文件文号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1"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项目立项(可研批复)文号</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pPr>
          </w:p>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《广州供电局规划研究中心关于广州供电局</w:t>
            </w:r>
          </w:p>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2025 年依托基建工程技术创新专题可行性</w:t>
            </w:r>
          </w:p>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研究报告评审意见的报告》广供电规划〔</w:t>
            </w:r>
            <w:r>
              <w:rPr>
                <w:rFonts w:hint="default"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2025〕136号</w:t>
            </w: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w:t>
            </w:r>
          </w:p>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left"/>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0"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2</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t>资金落实情况</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《广州供电局规划研究中心关于广州供电局</w:t>
            </w:r>
          </w:p>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2025 年依托基建工程技术创新专题可行性</w:t>
            </w:r>
          </w:p>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研究报告评审意见的报告》广供电规划〔</w:t>
            </w:r>
            <w:r>
              <w:rPr>
                <w:rFonts w:hint="default"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2025〕136号</w:t>
            </w: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w:t>
            </w:r>
          </w:p>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《广州供电局规划研究中心关于220千伏白鹅潭输变电工程（第一分册）施工图设计及预算评审意见的报告》广供电规划〔</w:t>
            </w:r>
            <w:r>
              <w:rPr>
                <w:rFonts w:hint="default"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2025〕1</w:t>
            </w: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47</w:t>
            </w:r>
            <w:r>
              <w:rPr>
                <w:rFonts w:hint="default"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号</w:t>
            </w: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w:t>
            </w:r>
          </w:p>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left"/>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3</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项目建设单位</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广东电网有限责任公司广州供电局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4</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项目建设地点</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广州市 荔湾 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5"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5</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服务期/框架有效期</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default" w:ascii="宋体" w:hAnsi="宋体" w:eastAsia="宋体" w:cs="宋体"/>
                <w:bCs/>
                <w:color w:val="auto"/>
                <w:kern w:val="0"/>
                <w:sz w:val="21"/>
                <w:szCs w:val="21"/>
                <w:highlight w:val="none"/>
                <w:u w:val="no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合同签订之日起至2027年12月31日，实际服务期以委托函上载明的时间为准。</w:t>
            </w:r>
          </w:p>
        </w:tc>
      </w:tr>
    </w:tbl>
    <w:p>
      <w:pPr>
        <w:keepNext w:val="0"/>
        <w:keepLines w:val="0"/>
        <w:pageBreakBefore w:val="0"/>
        <w:widowControl w:val="0"/>
        <w:numPr>
          <w:ilvl w:val="0"/>
          <w:numId w:val="0"/>
        </w:numPr>
        <w:kinsoku/>
        <w:wordWrap/>
        <w:overflowPunct/>
        <w:topLinePunct w:val="0"/>
        <w:bidi w:val="0"/>
        <w:snapToGrid/>
        <w:spacing w:before="157" w:beforeLines="50" w:after="157" w:afterLines="50" w:line="480" w:lineRule="auto"/>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asciiTheme="minorEastAsia" w:hAnsiTheme="minorEastAsia" w:eastAsiaTheme="minorEastAsia" w:cstheme="minorEastAsia"/>
          <w:b/>
          <w:bCs/>
          <w:color w:val="auto"/>
          <w:sz w:val="24"/>
          <w:szCs w:val="24"/>
          <w:highlight w:val="none"/>
          <w:u w:val="none"/>
          <w:lang w:val="en-US" w:eastAsia="zh-CN"/>
        </w:rPr>
        <w:t>一、项目概况</w:t>
      </w:r>
    </w:p>
    <w:p>
      <w:pPr>
        <w:pStyle w:val="17"/>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t>本项目围绕随轨共建条件下电力廊道的土建与结构关键技术展开系统研究，旨在构建适用于该类工程的结构设计体系与空间协同策略，填补当前国内在共建模式下相关理论体系与技术标准方面的空白。研究内容涵盖独立与共构两类模式下的平纵面协调设计、复杂接口结构分析、邻近效应与加固措施评估、典型断面布置优化、关键节点结构安全、以及消防、通风、排水等附属功能的一体化集成方案，具有明显的工程前瞻性和理论创新性。</w:t>
      </w:r>
    </w:p>
    <w:p>
      <w:pPr>
        <w:pStyle w:val="17"/>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t>本项目研究将有力支撑以广州为代表的特大城市开展轨道交通引导型地下空间集成开发，通过研究成果的工程试点应用，形成可复制、可推广的设计与建设模式，推动我国市政管廊建设从“分散独立”迈向“融合共建”新阶段。项目的实施不仅具有重要的工程示范意义和产业引领价值，也将为构建韧性城市、提升城市生命线系统的安全水平与运维效率提供强有力的技术支撑。</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80" w:firstLineChars="200"/>
        <w:textAlignment w:val="auto"/>
        <w:rPr>
          <w:rFonts w:hint="eastAsia" w:ascii="Wingdings" w:hAnsi="Wingdings" w:cs="Wingdings" w:eastAsiaTheme="minorEastAsia"/>
          <w:b/>
          <w:bCs/>
          <w:i w:val="0"/>
          <w:iCs/>
          <w:color w:val="auto"/>
          <w:kern w:val="2"/>
          <w:sz w:val="24"/>
          <w:szCs w:val="24"/>
          <w:highlight w:val="none"/>
          <w:u w:val="single"/>
          <w:lang w:val="en-US" w:eastAsia="zh-CN" w:bidi="ar-SA"/>
        </w:rPr>
      </w:pPr>
      <w:r>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t xml:space="preserve"> 项目研究成果将开创国内市政管廊建设新模式，打造大型线性基础设施在特大城市中心城区地下空间资源开发的典范，以及为同类型电力廊道建设提供可借鉴的建设模式。形成随轨共建电力廊道土建及结构关键技术研究报告1份</w:t>
      </w:r>
      <w:r>
        <w:rPr>
          <w:rFonts w:hint="eastAsia" w:ascii="仿宋_GB2312" w:hAnsi="仿宋_GB2312" w:eastAsia="仿宋_GB2312" w:cs="仿宋_GB2312"/>
          <w:sz w:val="24"/>
          <w:szCs w:val="24"/>
          <w:u w:val="single"/>
          <w:lang w:eastAsia="zh-CN"/>
        </w:rPr>
        <w:t>。</w:t>
      </w:r>
    </w:p>
    <w:p>
      <w:pPr>
        <w:keepNext w:val="0"/>
        <w:keepLines w:val="0"/>
        <w:pageBreakBefore w:val="0"/>
        <w:widowControl w:val="0"/>
        <w:kinsoku/>
        <w:wordWrap/>
        <w:overflowPunct/>
        <w:topLinePunct w:val="0"/>
        <w:autoSpaceDE/>
        <w:autoSpaceDN/>
        <w:bidi w:val="0"/>
        <w:adjustRightInd/>
        <w:snapToGrid/>
        <w:spacing w:before="157" w:beforeLines="50" w:after="157" w:afterLines="50" w:line="480" w:lineRule="auto"/>
        <w:textAlignment w:val="auto"/>
        <w:rPr>
          <w:rFonts w:hint="eastAsia"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二、采购范围</w:t>
      </w:r>
    </w:p>
    <w:p>
      <w:pPr>
        <w:pStyle w:val="17"/>
        <w:keepNext w:val="0"/>
        <w:keepLines w:val="0"/>
        <w:pageBreakBefore w:val="0"/>
        <w:widowControl w:val="0"/>
        <w:shd w:val="clear" w:color="auto" w:fill="auto"/>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t>执行《南方电网公司基建工程设计管理控制文件》及广州供电局有限公司相关文件要求，满足国家、南方电网公司的质量标准、控制标准和验收规范，在质量管理过程中达到或超过质量标准。</w:t>
      </w:r>
    </w:p>
    <w:p>
      <w:pPr>
        <w:pStyle w:val="17"/>
        <w:keepNext w:val="0"/>
        <w:keepLines w:val="0"/>
        <w:pageBreakBefore w:val="0"/>
        <w:widowControl w:val="0"/>
        <w:shd w:val="clear" w:color="auto" w:fill="auto"/>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t>本项目旨在研究轨道交通与电力廊道同步建设方案，重点针对独立区间及共构两种模式，分析其对地铁和电力隧道结构、附属设施的影响，并在区间段、工作井及地铁车站等关键场景开展可行性方案研究。主要研究内容包括：</w:t>
      </w:r>
    </w:p>
    <w:p>
      <w:pPr>
        <w:pStyle w:val="17"/>
        <w:keepNext w:val="0"/>
        <w:keepLines w:val="0"/>
        <w:pageBreakBefore w:val="0"/>
        <w:widowControl w:val="0"/>
        <w:shd w:val="clear" w:color="auto" w:fill="auto"/>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t>（1）独立区间模式下平纵面设计研究。</w:t>
      </w:r>
    </w:p>
    <w:p>
      <w:pPr>
        <w:pStyle w:val="17"/>
        <w:keepNext w:val="0"/>
        <w:keepLines w:val="0"/>
        <w:pageBreakBefore w:val="0"/>
        <w:widowControl w:val="0"/>
        <w:shd w:val="clear" w:color="auto" w:fill="auto"/>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t>（2）独立区间模式下与地铁位置关系影响及加固措施研究。</w:t>
      </w:r>
    </w:p>
    <w:p>
      <w:pPr>
        <w:pStyle w:val="17"/>
        <w:keepNext w:val="0"/>
        <w:keepLines w:val="0"/>
        <w:pageBreakBefore w:val="0"/>
        <w:widowControl w:val="0"/>
        <w:shd w:val="clear" w:color="auto" w:fill="auto"/>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t>（3）独立区间模式下通风、消防、监控、排水等附属设施研究。</w:t>
      </w:r>
    </w:p>
    <w:p>
      <w:pPr>
        <w:pStyle w:val="17"/>
        <w:keepNext w:val="0"/>
        <w:keepLines w:val="0"/>
        <w:pageBreakBefore w:val="0"/>
        <w:widowControl w:val="0"/>
        <w:shd w:val="clear" w:color="auto" w:fill="auto"/>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t>（4）共构区间模式下平纵面设计研究。</w:t>
      </w:r>
    </w:p>
    <w:p>
      <w:pPr>
        <w:pStyle w:val="17"/>
        <w:keepNext w:val="0"/>
        <w:keepLines w:val="0"/>
        <w:pageBreakBefore w:val="0"/>
        <w:widowControl w:val="0"/>
        <w:shd w:val="clear" w:color="auto" w:fill="auto"/>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t>（5）共构区间模式下断面布置及特殊结构节点研究。</w:t>
      </w:r>
    </w:p>
    <w:p>
      <w:pPr>
        <w:pStyle w:val="17"/>
        <w:keepNext w:val="0"/>
        <w:keepLines w:val="0"/>
        <w:pageBreakBefore w:val="0"/>
        <w:widowControl w:val="0"/>
        <w:shd w:val="clear" w:color="auto" w:fill="auto"/>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u w:val="single"/>
          <w:lang w:val="en-US" w:eastAsia="zh-CN" w:bidi="ar-SA"/>
          <w14:textFill>
            <w14:solidFill>
              <w14:schemeClr w14:val="tx1"/>
            </w14:solidFill>
          </w14:textFill>
        </w:rPr>
        <w:t>（6）共构区间模式下通风、消防、排水、监控等附属设施研究。</w:t>
      </w:r>
    </w:p>
    <w:p>
      <w:pPr>
        <w:pStyle w:val="2"/>
        <w:rPr>
          <w:rFonts w:hint="eastAsia"/>
          <w:b w:val="0"/>
          <w:bCs w:val="0"/>
          <w:lang w:val="en-US" w:eastAsia="zh-CN"/>
        </w:rPr>
      </w:pPr>
    </w:p>
    <w:p>
      <w:pPr>
        <w:pStyle w:val="4"/>
        <w:keepNext w:val="0"/>
        <w:keepLines w:val="0"/>
        <w:pageBreakBefore w:val="0"/>
        <w:numPr>
          <w:ilvl w:val="0"/>
          <w:numId w:val="2"/>
        </w:numPr>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报价表及报价要求</w:t>
      </w:r>
    </w:p>
    <w:p>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both"/>
        <w:rPr>
          <w:rFonts w:hint="eastAsia"/>
          <w:lang w:val="en-US" w:eastAsia="zh-CN"/>
        </w:rPr>
      </w:pPr>
    </w:p>
    <w:p>
      <w:pPr>
        <w:pStyle w:val="6"/>
        <w:rPr>
          <w:rFonts w:hint="default"/>
          <w:color w:val="0000FF"/>
          <w:highlight w:val="none"/>
          <w:lang w:val="en-US" w:eastAsia="zh-CN"/>
        </w:rPr>
      </w:pPr>
    </w:p>
    <w:tbl>
      <w:tblPr>
        <w:tblStyle w:val="11"/>
        <w:tblpPr w:leftFromText="180" w:rightFromText="180" w:vertAnchor="text" w:horzAnchor="page" w:tblpX="1352" w:tblpY="66"/>
        <w:tblOverlap w:val="never"/>
        <w:tblW w:w="929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651"/>
        <w:gridCol w:w="2232"/>
        <w:gridCol w:w="825"/>
        <w:gridCol w:w="936"/>
        <w:gridCol w:w="826"/>
        <w:gridCol w:w="694"/>
        <w:gridCol w:w="1024"/>
        <w:gridCol w:w="1049"/>
        <w:gridCol w:w="10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43" w:hRule="atLeast"/>
        </w:trPr>
        <w:tc>
          <w:tcPr>
            <w:tcW w:w="651" w:type="dxa"/>
            <w:vMerge w:val="restart"/>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序号</w:t>
            </w:r>
          </w:p>
        </w:tc>
        <w:tc>
          <w:tcPr>
            <w:tcW w:w="2232" w:type="dxa"/>
            <w:vMerge w:val="restart"/>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工程或费用名称</w:t>
            </w:r>
          </w:p>
        </w:tc>
        <w:tc>
          <w:tcPr>
            <w:tcW w:w="825" w:type="dxa"/>
            <w:vMerge w:val="restart"/>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预计</w:t>
            </w:r>
          </w:p>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数量</w:t>
            </w:r>
          </w:p>
        </w:tc>
        <w:tc>
          <w:tcPr>
            <w:tcW w:w="1762" w:type="dxa"/>
            <w:gridSpan w:val="2"/>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最高投标限价</w:t>
            </w:r>
          </w:p>
        </w:tc>
        <w:tc>
          <w:tcPr>
            <w:tcW w:w="694" w:type="dxa"/>
            <w:vMerge w:val="restart"/>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投标下浮率</w:t>
            </w:r>
          </w:p>
        </w:tc>
        <w:tc>
          <w:tcPr>
            <w:tcW w:w="2073" w:type="dxa"/>
            <w:gridSpan w:val="2"/>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投标报价</w:t>
            </w:r>
          </w:p>
        </w:tc>
        <w:tc>
          <w:tcPr>
            <w:tcW w:w="1056" w:type="dxa"/>
            <w:vMerge w:val="restart"/>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备  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4" w:hRule="atLeast"/>
        </w:trPr>
        <w:tc>
          <w:tcPr>
            <w:tcW w:w="651" w:type="dxa"/>
            <w:vMerge w:val="continue"/>
            <w:tcBorders>
              <w:tl2br w:val="nil"/>
              <w:tr2bl w:val="nil"/>
            </w:tcBorders>
            <w:shd w:val="clear" w:color="auto" w:fill="auto"/>
            <w:noWrap/>
            <w:vAlign w:val="center"/>
          </w:tcPr>
          <w:p>
            <w:pPr>
              <w:keepNext w:val="0"/>
              <w:keepLines w:val="0"/>
              <w:widowControl/>
              <w:suppressLineNumbers w:val="0"/>
              <w:jc w:val="center"/>
              <w:textAlignment w:val="center"/>
              <w:rPr>
                <w:highlight w:val="none"/>
              </w:rPr>
            </w:pPr>
          </w:p>
        </w:tc>
        <w:tc>
          <w:tcPr>
            <w:tcW w:w="2232" w:type="dxa"/>
            <w:vMerge w:val="continue"/>
            <w:tcBorders>
              <w:tl2br w:val="nil"/>
              <w:tr2bl w:val="nil"/>
            </w:tcBorders>
            <w:shd w:val="clear" w:color="auto" w:fill="auto"/>
            <w:noWrap/>
            <w:vAlign w:val="center"/>
          </w:tcPr>
          <w:p>
            <w:pPr>
              <w:keepNext w:val="0"/>
              <w:keepLines w:val="0"/>
              <w:widowControl/>
              <w:suppressLineNumbers w:val="0"/>
              <w:jc w:val="center"/>
              <w:textAlignment w:val="center"/>
              <w:rPr>
                <w:highlight w:val="none"/>
              </w:rPr>
            </w:pPr>
          </w:p>
        </w:tc>
        <w:tc>
          <w:tcPr>
            <w:tcW w:w="825" w:type="dxa"/>
            <w:vMerge w:val="continue"/>
            <w:tcBorders>
              <w:tl2br w:val="nil"/>
              <w:tr2bl w:val="nil"/>
            </w:tcBorders>
            <w:shd w:val="clear" w:color="auto" w:fill="auto"/>
            <w:noWrap/>
            <w:vAlign w:val="center"/>
          </w:tcPr>
          <w:p>
            <w:pPr>
              <w:keepNext w:val="0"/>
              <w:keepLines w:val="0"/>
              <w:widowControl/>
              <w:suppressLineNumbers w:val="0"/>
              <w:jc w:val="center"/>
              <w:textAlignment w:val="center"/>
              <w:rPr>
                <w:highlight w:val="none"/>
              </w:rPr>
            </w:pPr>
          </w:p>
        </w:tc>
        <w:tc>
          <w:tcPr>
            <w:tcW w:w="93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单价</w:t>
            </w:r>
            <w:r>
              <w:rPr>
                <w:rFonts w:hint="eastAsia" w:ascii="宋体" w:hAnsi="宋体" w:eastAsia="宋体" w:cs="宋体"/>
                <w:i w:val="0"/>
                <w:iCs w:val="0"/>
                <w:color w:val="000000"/>
                <w:kern w:val="0"/>
                <w:sz w:val="20"/>
                <w:szCs w:val="20"/>
                <w:highlight w:val="none"/>
                <w:u w:val="none"/>
                <w:lang w:val="en-US" w:eastAsia="zh-CN" w:bidi="ar"/>
              </w:rPr>
              <w:t>（元）</w:t>
            </w:r>
          </w:p>
        </w:tc>
        <w:tc>
          <w:tcPr>
            <w:tcW w:w="82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合计</w:t>
            </w:r>
            <w:r>
              <w:rPr>
                <w:rFonts w:hint="eastAsia" w:ascii="宋体" w:hAnsi="宋体" w:eastAsia="宋体" w:cs="宋体"/>
                <w:i w:val="0"/>
                <w:iCs w:val="0"/>
                <w:color w:val="000000"/>
                <w:kern w:val="0"/>
                <w:sz w:val="20"/>
                <w:szCs w:val="20"/>
                <w:highlight w:val="none"/>
                <w:u w:val="none"/>
                <w:lang w:val="en-US" w:eastAsia="zh-CN" w:bidi="ar"/>
              </w:rPr>
              <w:t>（元）</w:t>
            </w:r>
          </w:p>
        </w:tc>
        <w:tc>
          <w:tcPr>
            <w:tcW w:w="694" w:type="dxa"/>
            <w:vMerge w:val="continue"/>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02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单价</w:t>
            </w:r>
            <w:r>
              <w:rPr>
                <w:rFonts w:hint="eastAsia" w:ascii="宋体" w:hAnsi="宋体" w:eastAsia="宋体" w:cs="宋体"/>
                <w:i w:val="0"/>
                <w:iCs w:val="0"/>
                <w:color w:val="000000"/>
                <w:kern w:val="0"/>
                <w:sz w:val="20"/>
                <w:szCs w:val="20"/>
                <w:highlight w:val="none"/>
                <w:u w:val="none"/>
                <w:lang w:val="en-US" w:eastAsia="zh-CN" w:bidi="ar"/>
              </w:rPr>
              <w:t>（元）</w:t>
            </w:r>
          </w:p>
        </w:tc>
        <w:tc>
          <w:tcPr>
            <w:tcW w:w="1049"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合计</w:t>
            </w:r>
            <w:r>
              <w:rPr>
                <w:rFonts w:hint="eastAsia" w:ascii="宋体" w:hAnsi="宋体" w:eastAsia="宋体" w:cs="宋体"/>
                <w:i w:val="0"/>
                <w:iCs w:val="0"/>
                <w:color w:val="000000"/>
                <w:kern w:val="0"/>
                <w:sz w:val="20"/>
                <w:szCs w:val="20"/>
                <w:highlight w:val="none"/>
                <w:u w:val="none"/>
                <w:lang w:val="en-US" w:eastAsia="zh-CN" w:bidi="ar"/>
              </w:rPr>
              <w:t>（元）</w:t>
            </w:r>
          </w:p>
        </w:tc>
        <w:tc>
          <w:tcPr>
            <w:tcW w:w="1056" w:type="dxa"/>
            <w:vMerge w:val="continue"/>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00" w:hRule="atLeast"/>
        </w:trPr>
        <w:tc>
          <w:tcPr>
            <w:tcW w:w="651" w:type="dxa"/>
            <w:tcBorders>
              <w:tl2br w:val="nil"/>
              <w:tr2bl w:val="nil"/>
            </w:tcBorders>
            <w:shd w:val="clear" w:color="auto" w:fill="auto"/>
            <w:noWrap/>
            <w:vAlign w:val="center"/>
          </w:tcPr>
          <w:p>
            <w:pPr>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w:t>
            </w:r>
          </w:p>
        </w:tc>
        <w:tc>
          <w:tcPr>
            <w:tcW w:w="2232" w:type="dxa"/>
            <w:tcBorders>
              <w:tl2br w:val="nil"/>
              <w:tr2bl w:val="nil"/>
            </w:tcBorders>
            <w:shd w:val="clear" w:color="auto" w:fill="auto"/>
            <w:noWrap/>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随轨共建电力廊道土建及结构关键技术研究</w:t>
            </w:r>
          </w:p>
        </w:tc>
        <w:tc>
          <w:tcPr>
            <w:tcW w:w="825" w:type="dxa"/>
            <w:tcBorders>
              <w:tl2br w:val="nil"/>
              <w:tr2bl w:val="nil"/>
            </w:tcBorders>
            <w:shd w:val="clear" w:color="auto" w:fill="auto"/>
            <w:noWrap/>
            <w:vAlign w:val="center"/>
          </w:tcPr>
          <w:p>
            <w:pPr>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w:t>
            </w:r>
          </w:p>
        </w:tc>
        <w:tc>
          <w:tcPr>
            <w:tcW w:w="936" w:type="dxa"/>
            <w:tcBorders>
              <w:tl2br w:val="nil"/>
              <w:tr2bl w:val="nil"/>
            </w:tcBorders>
            <w:shd w:val="clear" w:color="auto" w:fill="auto"/>
            <w:vAlign w:val="center"/>
          </w:tcPr>
          <w:p>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2508000</w:t>
            </w:r>
          </w:p>
        </w:tc>
        <w:tc>
          <w:tcPr>
            <w:tcW w:w="826" w:type="dxa"/>
            <w:tcBorders>
              <w:tl2br w:val="nil"/>
              <w:tr2bl w:val="nil"/>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2508000</w:t>
            </w:r>
          </w:p>
        </w:tc>
        <w:tc>
          <w:tcPr>
            <w:tcW w:w="694" w:type="dxa"/>
            <w:tcBorders>
              <w:tl2br w:val="nil"/>
              <w:tr2bl w:val="nil"/>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single"/>
                <w:lang w:val="en-US" w:eastAsia="zh-CN" w:bidi="ar"/>
              </w:rPr>
              <w:t xml:space="preserve">   </w:t>
            </w:r>
            <w:r>
              <w:rPr>
                <w:rFonts w:hint="eastAsia" w:ascii="宋体" w:hAnsi="宋体" w:eastAsia="宋体" w:cs="宋体"/>
                <w:i w:val="0"/>
                <w:iCs w:val="0"/>
                <w:color w:val="000000"/>
                <w:kern w:val="0"/>
                <w:sz w:val="20"/>
                <w:szCs w:val="20"/>
                <w:highlight w:val="none"/>
                <w:u w:val="none"/>
                <w:lang w:val="en-US" w:eastAsia="zh-CN" w:bidi="ar"/>
              </w:rPr>
              <w:t>%</w:t>
            </w:r>
          </w:p>
        </w:tc>
        <w:tc>
          <w:tcPr>
            <w:tcW w:w="1024" w:type="dxa"/>
            <w:tcBorders>
              <w:tl2br w:val="nil"/>
              <w:tr2bl w:val="nil"/>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49" w:type="dxa"/>
            <w:tcBorders>
              <w:tl2br w:val="nil"/>
              <w:tr2bl w:val="nil"/>
            </w:tcBorders>
            <w:shd w:val="clear" w:color="auto" w:fill="auto"/>
            <w:noWrap/>
            <w:vAlign w:val="center"/>
          </w:tcPr>
          <w:p>
            <w:pPr>
              <w:jc w:val="center"/>
              <w:rPr>
                <w:rFonts w:hint="eastAsia" w:ascii="宋体" w:hAnsi="宋体" w:eastAsia="宋体" w:cs="宋体"/>
                <w:i w:val="0"/>
                <w:iCs w:val="0"/>
                <w:color w:val="000000"/>
                <w:sz w:val="20"/>
                <w:szCs w:val="20"/>
                <w:highlight w:val="none"/>
                <w:u w:val="none"/>
              </w:rPr>
            </w:pPr>
          </w:p>
        </w:tc>
        <w:tc>
          <w:tcPr>
            <w:tcW w:w="1056" w:type="dxa"/>
            <w:tcBorders>
              <w:tl2br w:val="nil"/>
              <w:tr2bl w:val="nil"/>
            </w:tcBorders>
            <w:shd w:val="clear" w:color="auto" w:fill="auto"/>
            <w:noWrap/>
            <w:vAlign w:val="center"/>
          </w:tcPr>
          <w:p>
            <w:pPr>
              <w:jc w:val="center"/>
              <w:rPr>
                <w:rFonts w:hint="eastAsia" w:ascii="宋体" w:hAnsi="宋体" w:eastAsia="宋体" w:cs="宋体"/>
                <w:i w:val="0"/>
                <w:iCs w:val="0"/>
                <w:color w:val="000000"/>
                <w:sz w:val="20"/>
                <w:szCs w:val="20"/>
                <w:highlight w:val="none"/>
                <w:u w:val="none"/>
              </w:rPr>
            </w:pPr>
          </w:p>
        </w:tc>
      </w:tr>
    </w:tbl>
    <w:p>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both"/>
        <w:rPr>
          <w:rFonts w:hint="eastAsia"/>
          <w:highlight w:val="none"/>
          <w:lang w:val="en-US" w:eastAsia="zh-CN"/>
        </w:rPr>
      </w:pPr>
    </w:p>
    <w:p>
      <w:pPr>
        <w:pStyle w:val="7"/>
        <w:ind w:firstLine="240" w:firstLineChars="100"/>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u w:val="none"/>
          <w:lang w:val="en-US" w:eastAsia="zh-CN" w:bidi="ar-SA"/>
        </w:rPr>
        <w:t>报价要求：</w:t>
      </w:r>
    </w:p>
    <w:p>
      <w:pPr>
        <w:pStyle w:val="8"/>
        <w:keepNext w:val="0"/>
        <w:keepLines w:val="0"/>
        <w:pageBreakBefore w:val="0"/>
        <w:widowControl/>
        <w:numPr>
          <w:ilvl w:val="0"/>
          <w:numId w:val="3"/>
        </w:numPr>
        <w:shd w:val="clear" w:color="auto" w:fill="auto"/>
        <w:kinsoku/>
        <w:wordWrap/>
        <w:overflowPunct/>
        <w:topLinePunct w:val="0"/>
        <w:autoSpaceDE/>
        <w:autoSpaceDN/>
        <w:bidi w:val="0"/>
        <w:adjustRightInd/>
        <w:snapToGrid/>
        <w:spacing w:before="0" w:after="0"/>
        <w:jc w:val="lef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按下浮率报价（保留两位小数，如8.88%），同时填报投标报价（投标报价=最高投标限价*</w:t>
      </w:r>
      <w:bookmarkStart w:id="1" w:name="_GoBack"/>
      <w:bookmarkEnd w:id="1"/>
      <w:r>
        <w:rPr>
          <w:rFonts w:hint="eastAsia" w:ascii="宋体" w:hAnsi="宋体" w:eastAsia="宋体" w:cs="宋体"/>
          <w:b w:val="0"/>
          <w:bCs w:val="0"/>
          <w:color w:val="auto"/>
          <w:sz w:val="24"/>
          <w:szCs w:val="24"/>
          <w:highlight w:val="none"/>
        </w:rPr>
        <w:t>（1-投标下浮率），四舍五入保留两位小数）。当投标报价与投标下浮率计算结果不一致时，以投标下浮率为准，按上述公式修订投标报价，如单项报价与投标下浮率不对应的也需按投标下浮率修正单项报价。</w:t>
      </w:r>
    </w:p>
    <w:p>
      <w:pPr>
        <w:pStyle w:val="8"/>
        <w:keepNext w:val="0"/>
        <w:keepLines w:val="0"/>
        <w:pageBreakBefore w:val="0"/>
        <w:widowControl/>
        <w:numPr>
          <w:ilvl w:val="0"/>
          <w:numId w:val="3"/>
        </w:numPr>
        <w:shd w:val="clear" w:color="auto" w:fill="auto"/>
        <w:kinsoku/>
        <w:wordWrap/>
        <w:overflowPunct/>
        <w:topLinePunct w:val="0"/>
        <w:autoSpaceDE/>
        <w:autoSpaceDN/>
        <w:bidi w:val="0"/>
        <w:adjustRightInd/>
        <w:snapToGrid/>
        <w:spacing w:before="0" w:after="0"/>
        <w:jc w:val="lef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投标下浮率不低于0%为有效报价；当投标下浮率＞15%时应附成本分析报告，充分说明单价和费用的组成、降低成本的合理措施及在其他工程中应用过的经验等，经评审通过后方可视为有效报价。</w:t>
      </w:r>
    </w:p>
    <w:p>
      <w:pPr>
        <w:pStyle w:val="8"/>
        <w:keepNext w:val="0"/>
        <w:keepLines w:val="0"/>
        <w:pageBreakBefore w:val="0"/>
        <w:widowControl/>
        <w:numPr>
          <w:ilvl w:val="0"/>
          <w:numId w:val="3"/>
        </w:numPr>
        <w:shd w:val="clear" w:color="auto" w:fill="auto"/>
        <w:kinsoku/>
        <w:wordWrap/>
        <w:overflowPunct/>
        <w:topLinePunct w:val="0"/>
        <w:autoSpaceDE/>
        <w:autoSpaceDN/>
        <w:bidi w:val="0"/>
        <w:adjustRightInd/>
        <w:snapToGrid/>
        <w:spacing w:before="0" w:after="0"/>
        <w:jc w:val="lef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价格分计算时，投标人评标价按（100-投标人填写的下浮数值）参与计算。如：下浮率为1.88％时，评标价按（100-1.88）参与计算。</w:t>
      </w:r>
    </w:p>
    <w:p>
      <w:pPr>
        <w:numPr>
          <w:ilvl w:val="0"/>
          <w:numId w:val="0"/>
        </w:numPr>
        <w:ind w:left="240" w:leftChars="0"/>
        <w:rPr>
          <w:rFonts w:hint="default"/>
          <w:highlight w:val="none"/>
          <w:lang w:val="en-US" w:eastAsia="zh-CN"/>
        </w:rPr>
      </w:pPr>
    </w:p>
    <w:p>
      <w:pPr>
        <w:rPr>
          <w:rFonts w:hint="eastAsia"/>
          <w:highlight w:val="none"/>
          <w:lang w:val="en-US" w:eastAsia="zh-CN"/>
        </w:rPr>
      </w:pPr>
    </w:p>
    <w:p>
      <w:pPr>
        <w:pStyle w:val="4"/>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四、结算方式</w:t>
      </w:r>
    </w:p>
    <w:p>
      <w:pPr>
        <w:pStyle w:val="2"/>
        <w:numPr>
          <w:ilvl w:val="0"/>
          <w:numId w:val="0"/>
        </w:numPr>
        <w:adjustRightInd w:val="0"/>
        <w:snapToGrid w:val="0"/>
        <w:spacing w:line="560" w:lineRule="exact"/>
        <w:ind w:leftChars="0" w:firstLine="480" w:firstLineChars="200"/>
        <w:rPr>
          <w:rFonts w:hint="eastAsia" w:asciiTheme="minorEastAsia" w:hAnsiTheme="minorEastAsia" w:eastAsiaTheme="minorEastAsia" w:cstheme="minorEastAsia"/>
          <w:color w:val="000000"/>
          <w:kern w:val="2"/>
          <w:sz w:val="24"/>
          <w:szCs w:val="24"/>
          <w:u w:val="single"/>
          <w:lang w:val="en-US" w:eastAsia="zh-CN" w:bidi="ar-SA"/>
        </w:rPr>
      </w:pPr>
      <w:r>
        <w:rPr>
          <w:rFonts w:hint="eastAsia" w:asciiTheme="minorEastAsia" w:hAnsiTheme="minorEastAsia" w:eastAsiaTheme="minorEastAsia" w:cstheme="minorEastAsia"/>
          <w:b w:val="0"/>
          <w:color w:val="000000"/>
          <w:kern w:val="2"/>
          <w:sz w:val="24"/>
          <w:szCs w:val="24"/>
          <w:u w:val="single"/>
          <w:lang w:val="en-US" w:eastAsia="zh-CN" w:bidi="ar-SA"/>
        </w:rPr>
        <w:t>相应阶段结算价=最高投标限价 ×（1-中标下浮率）。</w:t>
      </w:r>
    </w:p>
    <w:p>
      <w:pPr>
        <w:keepNext w:val="0"/>
        <w:keepLines w:val="0"/>
        <w:pageBreakBefore w:val="0"/>
        <w:widowControl w:val="0"/>
        <w:kinsoku/>
        <w:wordWrap/>
        <w:overflowPunct/>
        <w:topLinePunct w:val="0"/>
        <w:autoSpaceDE/>
        <w:autoSpaceDN/>
        <w:bidi w:val="0"/>
        <w:adjustRightInd/>
        <w:snapToGrid/>
        <w:spacing w:before="157" w:beforeLines="50" w:after="157" w:afterLines="50" w:line="480" w:lineRule="auto"/>
        <w:textAlignment w:val="auto"/>
        <w:rPr>
          <w:rFonts w:hint="default"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五、分包要求</w:t>
      </w:r>
    </w:p>
    <w:p>
      <w:pPr>
        <w:pStyle w:val="10"/>
        <w:numPr>
          <w:ilvl w:val="0"/>
          <w:numId w:val="0"/>
        </w:numPr>
        <w:rPr>
          <w:rFonts w:hint="eastAsia"/>
          <w:sz w:val="24"/>
          <w:szCs w:val="24"/>
          <w:highlight w:val="none"/>
          <w:lang w:eastAsia="zh-CN"/>
        </w:rPr>
      </w:pPr>
      <w:r>
        <w:rPr>
          <w:rFonts w:hint="default" w:ascii="Wingdings" w:hAnsi="Wingdings" w:cs="Wingdings"/>
          <w:sz w:val="24"/>
          <w:szCs w:val="24"/>
          <w:highlight w:val="none"/>
        </w:rPr>
        <w:sym w:font="Wingdings" w:char="00FE"/>
      </w:r>
      <w:r>
        <w:rPr>
          <w:rFonts w:hint="eastAsia"/>
          <w:sz w:val="24"/>
          <w:szCs w:val="24"/>
          <w:highlight w:val="none"/>
          <w:lang w:eastAsia="zh-CN"/>
        </w:rPr>
        <w:t>不允许分包</w:t>
      </w:r>
    </w:p>
    <w:p>
      <w:pPr>
        <w:pStyle w:val="10"/>
        <w:numPr>
          <w:ilvl w:val="0"/>
          <w:numId w:val="0"/>
        </w:numPr>
        <w:rPr>
          <w:rFonts w:hint="eastAsia"/>
          <w:sz w:val="24"/>
          <w:szCs w:val="24"/>
          <w:highlight w:val="none"/>
          <w:lang w:eastAsia="zh-CN"/>
        </w:rPr>
      </w:pPr>
      <w:r>
        <w:rPr>
          <w:rFonts w:hint="default" w:ascii="Wingdings" w:hAnsi="Wingdings" w:cs="Wingdings"/>
          <w:sz w:val="24"/>
          <w:szCs w:val="24"/>
          <w:highlight w:val="none"/>
          <w:lang w:eastAsia="zh-CN"/>
        </w:rPr>
        <w:sym w:font="Wingdings" w:char="00A8"/>
      </w:r>
      <w:r>
        <w:rPr>
          <w:rFonts w:hint="eastAsia"/>
          <w:sz w:val="24"/>
          <w:szCs w:val="24"/>
          <w:highlight w:val="none"/>
          <w:lang w:eastAsia="zh-CN"/>
        </w:rPr>
        <w:t>允许分包，但必须符合以下要求：</w:t>
      </w:r>
    </w:p>
    <w:p>
      <w:pPr>
        <w:keepNext w:val="0"/>
        <w:keepLines w:val="0"/>
        <w:pageBreakBefore w:val="0"/>
        <w:widowControl w:val="0"/>
        <w:kinsoku/>
        <w:wordWrap/>
        <w:overflowPunct/>
        <w:topLinePunct w:val="0"/>
        <w:bidi w:val="0"/>
        <w:snapToGrid/>
        <w:spacing w:before="157" w:beforeLines="50" w:after="157" w:afterLines="50" w:line="480" w:lineRule="auto"/>
        <w:textAlignment w:val="auto"/>
        <w:rPr>
          <w:rFonts w:hint="eastAsia" w:ascii="Wingdings" w:hAnsi="Wingdings" w:cs="Wingdings" w:eastAsiaTheme="minorEastAsia"/>
          <w:b/>
          <w:bCs/>
          <w:i w:val="0"/>
          <w:iCs/>
          <w:color w:val="auto"/>
          <w:kern w:val="2"/>
          <w:sz w:val="24"/>
          <w:szCs w:val="24"/>
          <w:highlight w:val="none"/>
          <w:u w:val="single"/>
          <w:lang w:val="en-US" w:eastAsia="zh-CN" w:bidi="ar-SA"/>
        </w:rPr>
      </w:pPr>
      <w:r>
        <w:rPr>
          <w:rFonts w:hint="eastAsia" w:ascii="Wingdings" w:hAnsi="Wingdings" w:cs="Wingdings" w:eastAsiaTheme="minorEastAsia"/>
          <w:b/>
          <w:bCs/>
          <w:i w:val="0"/>
          <w:iCs/>
          <w:color w:val="auto"/>
          <w:kern w:val="2"/>
          <w:sz w:val="24"/>
          <w:szCs w:val="24"/>
          <w:highlight w:val="none"/>
          <w:u w:val="single"/>
          <w:lang w:val="en-US" w:eastAsia="zh-CN" w:bidi="ar-SA"/>
        </w:rPr>
        <w:t xml:space="preserve"> </w:t>
      </w: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w:t>
      </w:r>
      <w:r>
        <w:rPr>
          <w:rFonts w:hint="eastAsia" w:ascii="Wingdings" w:hAnsi="Wingdings" w:cs="Wingdings" w:eastAsiaTheme="minorEastAsia"/>
          <w:b/>
          <w:bCs/>
          <w:i w:val="0"/>
          <w:iCs/>
          <w:color w:val="auto"/>
          <w:kern w:val="2"/>
          <w:sz w:val="24"/>
          <w:szCs w:val="24"/>
          <w:highlight w:val="none"/>
          <w:u w:val="single"/>
          <w:lang w:val="en-US" w:eastAsia="zh-CN" w:bidi="ar-SA"/>
        </w:rPr>
        <w:t xml:space="preserve">                                      </w:t>
      </w:r>
    </w:p>
    <w:p>
      <w:pPr>
        <w:rPr>
          <w:rFonts w:hint="eastAsia" w:ascii="宋体" w:hAnsi="宋体" w:eastAsia="宋体" w:cs="宋体"/>
          <w:color w:val="auto"/>
          <w:kern w:val="2"/>
          <w:sz w:val="24"/>
          <w:szCs w:val="24"/>
          <w:highlight w:val="none"/>
          <w:u w:val="single"/>
          <w:lang w:val="en-US" w:eastAsia="zh-CN" w:bidi="ar-SA"/>
        </w:rPr>
      </w:pPr>
    </w:p>
    <w:p>
      <w:pPr>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default"/>
          <w:highlight w:val="none"/>
          <w:lang w:val="en-US" w:eastAsia="zh-CN"/>
        </w:rPr>
        <w:br w:type="page"/>
      </w:r>
    </w:p>
    <w:p>
      <w:pPr>
        <w:pStyle w:val="2"/>
        <w:keepNext w:val="0"/>
        <w:keepLines w:val="0"/>
        <w:pageBreakBefore w:val="0"/>
        <w:widowControl w:val="0"/>
        <w:numPr>
          <w:ilvl w:val="0"/>
          <w:numId w:val="4"/>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技术标准、要求及图纸（对应招标文件 第五章）</w:t>
      </w:r>
    </w:p>
    <w:p>
      <w:pPr>
        <w:pStyle w:val="4"/>
        <w:spacing w:before="0" w:after="0" w:line="240" w:lineRule="auto"/>
        <w:rPr>
          <w:rFonts w:hint="eastAsia" w:asciiTheme="minorEastAsia" w:hAnsiTheme="minorEastAsia" w:eastAsiaTheme="minorEastAsia" w:cstheme="minorEastAsia"/>
          <w:i w:val="0"/>
          <w:iCs/>
          <w:color w:val="auto"/>
          <w:sz w:val="24"/>
          <w:szCs w:val="24"/>
          <w:highlight w:val="none"/>
        </w:rPr>
      </w:pPr>
      <w:r>
        <w:rPr>
          <w:rFonts w:hint="eastAsia" w:asciiTheme="minorEastAsia" w:hAnsiTheme="minorEastAsia" w:eastAsiaTheme="minorEastAsia" w:cstheme="minorEastAsia"/>
          <w:i w:val="0"/>
          <w:iCs/>
          <w:color w:val="auto"/>
          <w:sz w:val="24"/>
          <w:szCs w:val="24"/>
          <w:highlight w:val="none"/>
          <w:lang w:eastAsia="zh-CN"/>
        </w:rPr>
        <w:t>一、</w:t>
      </w:r>
      <w:r>
        <w:rPr>
          <w:rFonts w:hint="eastAsia" w:asciiTheme="minorEastAsia" w:hAnsiTheme="minorEastAsia" w:eastAsiaTheme="minorEastAsia" w:cstheme="minorEastAsia"/>
          <w:i w:val="0"/>
          <w:iCs/>
          <w:color w:val="auto"/>
          <w:sz w:val="24"/>
          <w:szCs w:val="24"/>
          <w:highlight w:val="none"/>
        </w:rPr>
        <w:t xml:space="preserve"> 管理规范和技术（规范）标准（</w:t>
      </w:r>
      <w:r>
        <w:rPr>
          <w:rFonts w:hint="eastAsia" w:asciiTheme="minorEastAsia" w:hAnsiTheme="minorEastAsia" w:eastAsiaTheme="minorEastAsia" w:cstheme="minorEastAsia"/>
          <w:i w:val="0"/>
          <w:iCs/>
          <w:color w:val="auto"/>
          <w:sz w:val="24"/>
          <w:szCs w:val="24"/>
          <w:highlight w:val="none"/>
          <w:lang w:eastAsia="zh-CN"/>
        </w:rPr>
        <w:t>详见</w:t>
      </w:r>
      <w:r>
        <w:rPr>
          <w:rFonts w:hint="eastAsia" w:asciiTheme="minorEastAsia" w:hAnsiTheme="minorEastAsia" w:eastAsiaTheme="minorEastAsia" w:cstheme="minorEastAsia"/>
          <w:i w:val="0"/>
          <w:iCs/>
          <w:color w:val="auto"/>
          <w:sz w:val="24"/>
          <w:szCs w:val="24"/>
          <w:highlight w:val="none"/>
        </w:rPr>
        <w:t>合同附件）</w:t>
      </w:r>
    </w:p>
    <w:p>
      <w:pPr>
        <w:pStyle w:val="2"/>
        <w:rPr>
          <w:rFonts w:hint="eastAsia" w:asciiTheme="minorEastAsia" w:hAnsiTheme="minorEastAsia" w:eastAsiaTheme="minorEastAsia" w:cstheme="minorEastAsia"/>
          <w:i w:val="0"/>
          <w:iCs/>
          <w:color w:val="auto"/>
          <w:sz w:val="24"/>
          <w:szCs w:val="24"/>
          <w:highlight w:val="none"/>
        </w:rPr>
      </w:pPr>
    </w:p>
    <w:p>
      <w:pPr>
        <w:pStyle w:val="4"/>
        <w:spacing w:before="0" w:after="0" w:line="240" w:lineRule="auto"/>
        <w:rPr>
          <w:rFonts w:hint="eastAsia" w:asciiTheme="minorEastAsia" w:hAnsiTheme="minorEastAsia" w:eastAsiaTheme="minorEastAsia" w:cstheme="minorEastAsia"/>
          <w:i w:val="0"/>
          <w:iCs/>
          <w:color w:val="auto"/>
          <w:sz w:val="24"/>
          <w:szCs w:val="24"/>
          <w:highlight w:val="none"/>
        </w:rPr>
      </w:pPr>
      <w:r>
        <w:rPr>
          <w:rFonts w:hint="eastAsia" w:asciiTheme="minorEastAsia" w:hAnsiTheme="minorEastAsia" w:eastAsiaTheme="minorEastAsia" w:cstheme="minorEastAsia"/>
          <w:i w:val="0"/>
          <w:iCs/>
          <w:color w:val="auto"/>
          <w:sz w:val="24"/>
          <w:szCs w:val="24"/>
          <w:highlight w:val="none"/>
          <w:lang w:eastAsia="zh-CN"/>
        </w:rPr>
        <w:t>二、</w:t>
      </w:r>
      <w:r>
        <w:rPr>
          <w:rFonts w:hint="eastAsia" w:asciiTheme="minorEastAsia" w:hAnsiTheme="minorEastAsia" w:eastAsiaTheme="minorEastAsia" w:cstheme="minorEastAsia"/>
          <w:i w:val="0"/>
          <w:iCs/>
          <w:color w:val="auto"/>
          <w:sz w:val="24"/>
          <w:szCs w:val="24"/>
          <w:highlight w:val="none"/>
        </w:rPr>
        <w:t>技术</w:t>
      </w:r>
      <w:r>
        <w:rPr>
          <w:rFonts w:hint="eastAsia" w:asciiTheme="minorEastAsia" w:hAnsiTheme="minorEastAsia" w:eastAsiaTheme="minorEastAsia" w:cstheme="minorEastAsia"/>
          <w:i w:val="0"/>
          <w:iCs/>
          <w:color w:val="auto"/>
          <w:sz w:val="24"/>
          <w:szCs w:val="24"/>
          <w:highlight w:val="none"/>
          <w:lang w:val="en-US" w:eastAsia="zh-CN"/>
        </w:rPr>
        <w:t>及管理</w:t>
      </w:r>
      <w:r>
        <w:rPr>
          <w:rFonts w:hint="eastAsia" w:asciiTheme="minorEastAsia" w:hAnsiTheme="minorEastAsia" w:eastAsiaTheme="minorEastAsia" w:cstheme="minorEastAsia"/>
          <w:i w:val="0"/>
          <w:iCs/>
          <w:color w:val="auto"/>
          <w:sz w:val="24"/>
          <w:szCs w:val="24"/>
          <w:highlight w:val="none"/>
        </w:rPr>
        <w:t>要求</w:t>
      </w:r>
    </w:p>
    <w:p>
      <w:pPr>
        <w:autoSpaceDE w:val="0"/>
        <w:autoSpaceDN w:val="0"/>
        <w:adjustRightInd w:val="0"/>
        <w:rPr>
          <w:rFonts w:hint="eastAsia" w:asciiTheme="minorEastAsia" w:hAnsiTheme="minorEastAsia" w:eastAsiaTheme="minorEastAsia" w:cstheme="minorEastAsia"/>
          <w:i w:val="0"/>
          <w:iCs/>
          <w:color w:val="auto"/>
          <w:kern w:val="0"/>
          <w:sz w:val="24"/>
          <w:szCs w:val="24"/>
          <w:highlight w:val="none"/>
          <w:lang w:val="zh-CN"/>
        </w:rPr>
      </w:pPr>
      <w:r>
        <w:rPr>
          <w:rFonts w:hint="eastAsia" w:asciiTheme="minorEastAsia" w:hAnsiTheme="minorEastAsia" w:eastAsiaTheme="minorEastAsia" w:cstheme="minorEastAsia"/>
          <w:i w:val="0"/>
          <w:iCs/>
          <w:color w:val="auto"/>
          <w:kern w:val="0"/>
          <w:sz w:val="24"/>
          <w:szCs w:val="24"/>
          <w:highlight w:val="none"/>
          <w:lang w:val="zh-CN"/>
        </w:rPr>
        <w:t>（一）满足南方电网公司基建管理制度、建设单位的质量、环境和职业健康安全管理体系文件、其他有关制度和规定。</w:t>
      </w:r>
    </w:p>
    <w:p>
      <w:pPr>
        <w:pStyle w:val="4"/>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val="0"/>
          <w:bCs/>
          <w:i w:val="0"/>
          <w:iCs/>
          <w:color w:val="auto"/>
          <w:kern w:val="0"/>
          <w:sz w:val="24"/>
          <w:szCs w:val="24"/>
          <w:highlight w:val="none"/>
          <w:lang w:val="zh-CN"/>
        </w:rPr>
      </w:pPr>
      <w:r>
        <w:rPr>
          <w:rFonts w:hint="eastAsia" w:asciiTheme="minorEastAsia" w:hAnsiTheme="minorEastAsia" w:eastAsiaTheme="minorEastAsia" w:cstheme="minorEastAsia"/>
          <w:b w:val="0"/>
          <w:bCs/>
          <w:i w:val="0"/>
          <w:iCs/>
          <w:color w:val="auto"/>
          <w:kern w:val="0"/>
          <w:sz w:val="24"/>
          <w:szCs w:val="24"/>
          <w:highlight w:val="none"/>
          <w:lang w:val="zh-CN"/>
        </w:rPr>
        <w:t>（二）符合图纸及技术文件的要求（如有，详见招标文件附件）。</w:t>
      </w:r>
    </w:p>
    <w:p>
      <w:pPr>
        <w:pStyle w:val="2"/>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p>
    <w:p>
      <w:pPr>
        <w:rPr>
          <w:rFonts w:hint="eastAsia" w:ascii="宋体" w:hAnsi="宋体" w:eastAsia="宋体" w:cs="宋体"/>
          <w:color w:val="auto"/>
          <w:sz w:val="24"/>
          <w:szCs w:val="24"/>
          <w:highlight w:val="none"/>
          <w:u w:val="single"/>
          <w:vertAlign w:val="baseline"/>
          <w:lang w:val="en-US" w:eastAsia="zh-CN"/>
        </w:rPr>
      </w:pPr>
    </w:p>
    <w:p>
      <w:pPr>
        <w:pStyle w:val="2"/>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4"/>
          <w:szCs w:val="24"/>
          <w:highlight w:val="none"/>
          <w:u w:val="single"/>
          <w:lang w:val="en-US" w:eastAsia="zh-CN"/>
        </w:rPr>
      </w:pPr>
    </w:p>
    <w:sectPr>
      <w:pgSz w:w="11906" w:h="16838"/>
      <w:pgMar w:top="1440" w:right="1080" w:bottom="1440" w:left="108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6993E1"/>
    <w:multiLevelType w:val="singleLevel"/>
    <w:tmpl w:val="EA6993E1"/>
    <w:lvl w:ilvl="0" w:tentative="0">
      <w:start w:val="3"/>
      <w:numFmt w:val="chineseCounting"/>
      <w:suff w:val="nothing"/>
      <w:lvlText w:val="%1、"/>
      <w:lvlJc w:val="left"/>
      <w:rPr>
        <w:rFonts w:hint="eastAsia"/>
      </w:rPr>
    </w:lvl>
  </w:abstractNum>
  <w:abstractNum w:abstractNumId="1">
    <w:nsid w:val="EAEE20F8"/>
    <w:multiLevelType w:val="singleLevel"/>
    <w:tmpl w:val="EAEE20F8"/>
    <w:lvl w:ilvl="0" w:tentative="0">
      <w:start w:val="2"/>
      <w:numFmt w:val="chineseCounting"/>
      <w:suff w:val="nothing"/>
      <w:lvlText w:val="第%1部分."/>
      <w:lvlJc w:val="left"/>
      <w:rPr>
        <w:rFonts w:hint="eastAsia"/>
      </w:rPr>
    </w:lvl>
  </w:abstractNum>
  <w:abstractNum w:abstractNumId="2">
    <w:nsid w:val="0D7920FF"/>
    <w:multiLevelType w:val="singleLevel"/>
    <w:tmpl w:val="0D7920FF"/>
    <w:lvl w:ilvl="0" w:tentative="0">
      <w:start w:val="1"/>
      <w:numFmt w:val="chineseCounting"/>
      <w:suff w:val="nothing"/>
      <w:lvlText w:val="第%1部分."/>
      <w:lvlJc w:val="left"/>
      <w:rPr>
        <w:rFonts w:hint="eastAsia"/>
      </w:rPr>
    </w:lvl>
  </w:abstractNum>
  <w:abstractNum w:abstractNumId="3">
    <w:nsid w:val="12846F37"/>
    <w:multiLevelType w:val="singleLevel"/>
    <w:tmpl w:val="12846F37"/>
    <w:lvl w:ilvl="0" w:tentative="0">
      <w:start w:val="1"/>
      <w:numFmt w:val="decimal"/>
      <w:lvlText w:val="%1."/>
      <w:lvlJc w:val="left"/>
      <w:pPr>
        <w:tabs>
          <w:tab w:val="left" w:pos="312"/>
        </w:tabs>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01270A5"/>
    <w:rsid w:val="007A4AD7"/>
    <w:rsid w:val="01686CB5"/>
    <w:rsid w:val="04A24F71"/>
    <w:rsid w:val="076F3B3B"/>
    <w:rsid w:val="07CA37DF"/>
    <w:rsid w:val="0B4A6210"/>
    <w:rsid w:val="0BC07002"/>
    <w:rsid w:val="0E2F4C02"/>
    <w:rsid w:val="0E3616E0"/>
    <w:rsid w:val="0E394169"/>
    <w:rsid w:val="0F81532F"/>
    <w:rsid w:val="107144D2"/>
    <w:rsid w:val="116419AD"/>
    <w:rsid w:val="11DF6CFE"/>
    <w:rsid w:val="12A5526C"/>
    <w:rsid w:val="13383335"/>
    <w:rsid w:val="14440D4B"/>
    <w:rsid w:val="14781EB9"/>
    <w:rsid w:val="14B666F3"/>
    <w:rsid w:val="15056A61"/>
    <w:rsid w:val="17722603"/>
    <w:rsid w:val="18E57496"/>
    <w:rsid w:val="1A386933"/>
    <w:rsid w:val="1A4F176B"/>
    <w:rsid w:val="1ABC520C"/>
    <w:rsid w:val="1B663F82"/>
    <w:rsid w:val="1C2D4629"/>
    <w:rsid w:val="1C43636C"/>
    <w:rsid w:val="1C8618B6"/>
    <w:rsid w:val="1D904223"/>
    <w:rsid w:val="1F653C49"/>
    <w:rsid w:val="1FF914D4"/>
    <w:rsid w:val="20735046"/>
    <w:rsid w:val="216F4D5B"/>
    <w:rsid w:val="21C11DC8"/>
    <w:rsid w:val="23B738BA"/>
    <w:rsid w:val="24E67795"/>
    <w:rsid w:val="24F737D8"/>
    <w:rsid w:val="2525523D"/>
    <w:rsid w:val="25990992"/>
    <w:rsid w:val="26EB3B6A"/>
    <w:rsid w:val="27A17894"/>
    <w:rsid w:val="28C43A7C"/>
    <w:rsid w:val="291D5E51"/>
    <w:rsid w:val="2BE07E0A"/>
    <w:rsid w:val="2CA17C08"/>
    <w:rsid w:val="2DDF66E3"/>
    <w:rsid w:val="2FF65FF8"/>
    <w:rsid w:val="300D195C"/>
    <w:rsid w:val="30BF37B5"/>
    <w:rsid w:val="313B0851"/>
    <w:rsid w:val="31A1649A"/>
    <w:rsid w:val="31C955A9"/>
    <w:rsid w:val="33B200AF"/>
    <w:rsid w:val="33C75702"/>
    <w:rsid w:val="33E60D56"/>
    <w:rsid w:val="33E61BE2"/>
    <w:rsid w:val="361736AD"/>
    <w:rsid w:val="36D200CF"/>
    <w:rsid w:val="379951F8"/>
    <w:rsid w:val="38382DC3"/>
    <w:rsid w:val="38DE045C"/>
    <w:rsid w:val="3987396D"/>
    <w:rsid w:val="3B595AEE"/>
    <w:rsid w:val="3BF24D81"/>
    <w:rsid w:val="3BFE7BEA"/>
    <w:rsid w:val="3C4750A3"/>
    <w:rsid w:val="3C4A35F1"/>
    <w:rsid w:val="420455E6"/>
    <w:rsid w:val="42E73C50"/>
    <w:rsid w:val="44982260"/>
    <w:rsid w:val="44D414C9"/>
    <w:rsid w:val="461E5D08"/>
    <w:rsid w:val="46472D5E"/>
    <w:rsid w:val="485D3F87"/>
    <w:rsid w:val="496A657E"/>
    <w:rsid w:val="49843C09"/>
    <w:rsid w:val="4B3A1BDA"/>
    <w:rsid w:val="4BF83760"/>
    <w:rsid w:val="4C5B4768"/>
    <w:rsid w:val="4C8349B8"/>
    <w:rsid w:val="504766FD"/>
    <w:rsid w:val="54471B54"/>
    <w:rsid w:val="552A0C96"/>
    <w:rsid w:val="55641C53"/>
    <w:rsid w:val="55BB16B6"/>
    <w:rsid w:val="55C3156A"/>
    <w:rsid w:val="560A4CB8"/>
    <w:rsid w:val="578178F5"/>
    <w:rsid w:val="5782183A"/>
    <w:rsid w:val="57BD355E"/>
    <w:rsid w:val="585A2248"/>
    <w:rsid w:val="58D21C48"/>
    <w:rsid w:val="5B0320E2"/>
    <w:rsid w:val="5B8B11A7"/>
    <w:rsid w:val="5B9E2EC4"/>
    <w:rsid w:val="5CD10D7E"/>
    <w:rsid w:val="5DC761A6"/>
    <w:rsid w:val="60002310"/>
    <w:rsid w:val="608606DE"/>
    <w:rsid w:val="610E324A"/>
    <w:rsid w:val="61F31EFD"/>
    <w:rsid w:val="63066BC7"/>
    <w:rsid w:val="63D0487B"/>
    <w:rsid w:val="64672037"/>
    <w:rsid w:val="64911DA0"/>
    <w:rsid w:val="650E6837"/>
    <w:rsid w:val="65945D8D"/>
    <w:rsid w:val="65CE635B"/>
    <w:rsid w:val="661A56F4"/>
    <w:rsid w:val="66C35559"/>
    <w:rsid w:val="67D57489"/>
    <w:rsid w:val="6823038C"/>
    <w:rsid w:val="68570F93"/>
    <w:rsid w:val="693A30BB"/>
    <w:rsid w:val="6A287B5E"/>
    <w:rsid w:val="6B303A1A"/>
    <w:rsid w:val="6C704794"/>
    <w:rsid w:val="6DAA2FDF"/>
    <w:rsid w:val="6DF95579"/>
    <w:rsid w:val="6E121228"/>
    <w:rsid w:val="6F8447F5"/>
    <w:rsid w:val="70D1495F"/>
    <w:rsid w:val="70ED510D"/>
    <w:rsid w:val="712F63C0"/>
    <w:rsid w:val="72717CD1"/>
    <w:rsid w:val="743E1546"/>
    <w:rsid w:val="74614F7E"/>
    <w:rsid w:val="74695E39"/>
    <w:rsid w:val="754C6F3B"/>
    <w:rsid w:val="75B11AFF"/>
    <w:rsid w:val="75D32619"/>
    <w:rsid w:val="76307412"/>
    <w:rsid w:val="768D126A"/>
    <w:rsid w:val="780B6A75"/>
    <w:rsid w:val="79F83E18"/>
    <w:rsid w:val="7AC633E2"/>
    <w:rsid w:val="7CED7DC5"/>
    <w:rsid w:val="7D0F76D8"/>
    <w:rsid w:val="7E3420E0"/>
    <w:rsid w:val="7F1B36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3">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4">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5">
    <w:name w:val="Normal Indent"/>
    <w:basedOn w:val="1"/>
    <w:qFormat/>
    <w:uiPriority w:val="0"/>
    <w:pPr>
      <w:ind w:firstLine="420"/>
    </w:pPr>
    <w:rPr>
      <w:rFonts w:ascii="Times New Roman" w:hAnsi="Times New Roman" w:cs="Times New Roman"/>
      <w:kern w:val="0"/>
      <w:sz w:val="20"/>
      <w:szCs w:val="20"/>
    </w:rPr>
  </w:style>
  <w:style w:type="paragraph" w:styleId="6">
    <w:name w:val="annotation text"/>
    <w:basedOn w:val="1"/>
    <w:qFormat/>
    <w:uiPriority w:val="0"/>
    <w:pPr>
      <w:jc w:val="left"/>
    </w:pPr>
  </w:style>
  <w:style w:type="paragraph" w:styleId="7">
    <w:name w:val="Body Text"/>
    <w:basedOn w:val="1"/>
    <w:next w:val="8"/>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8">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9">
    <w:name w:val="Body Text Indent"/>
    <w:basedOn w:val="1"/>
    <w:qFormat/>
    <w:uiPriority w:val="0"/>
    <w:pPr>
      <w:spacing w:after="120"/>
      <w:ind w:left="420" w:leftChars="200"/>
    </w:pPr>
  </w:style>
  <w:style w:type="paragraph" w:styleId="10">
    <w:name w:val="Body Text First Indent"/>
    <w:basedOn w:val="7"/>
    <w:qFormat/>
    <w:uiPriority w:val="0"/>
    <w:pPr>
      <w:keepNext w:val="0"/>
      <w:keepLines w:val="0"/>
      <w:widowControl w:val="0"/>
      <w:suppressLineNumbers w:val="0"/>
      <w:pBdr>
        <w:top w:val="none" w:color="auto" w:sz="0" w:space="0"/>
        <w:left w:val="none" w:color="auto" w:sz="0" w:space="0"/>
        <w:bottom w:val="none" w:color="auto" w:sz="0" w:space="0"/>
        <w:right w:val="none" w:color="auto" w:sz="0" w:space="0"/>
      </w:pBdr>
      <w:spacing w:beforeLines="50" w:beforeAutospacing="0" w:afterLines="50" w:afterAutospacing="0" w:line="360" w:lineRule="auto"/>
      <w:ind w:firstLine="200" w:firstLineChars="200"/>
      <w:jc w:val="both"/>
    </w:pPr>
    <w:rPr>
      <w:rFonts w:hint="default" w:ascii="Times New Roman" w:hAnsi="Times New Roman" w:eastAsia="宋体" w:cs="Times New Roman"/>
      <w:kern w:val="2"/>
      <w:sz w:val="24"/>
      <w:szCs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目录 21"/>
    <w:basedOn w:val="1"/>
    <w:next w:val="1"/>
    <w:qFormat/>
    <w:uiPriority w:val="0"/>
    <w:pPr>
      <w:spacing w:before="100" w:beforeAutospacing="1" w:after="100" w:afterAutospacing="1"/>
      <w:ind w:left="420" w:leftChars="200"/>
    </w:pPr>
  </w:style>
  <w:style w:type="paragraph" w:customStyle="1" w:styleId="15">
    <w:name w:val="正文首行缩进1"/>
    <w:basedOn w:val="1"/>
    <w:qFormat/>
    <w:uiPriority w:val="0"/>
    <w:pPr>
      <w:spacing w:line="360" w:lineRule="auto"/>
      <w:ind w:firstLine="200" w:firstLineChars="200"/>
    </w:pPr>
    <w:rPr>
      <w:kern w:val="2"/>
      <w:sz w:val="24"/>
      <w:szCs w:val="24"/>
    </w:rPr>
  </w:style>
  <w:style w:type="character" w:customStyle="1" w:styleId="16">
    <w:name w:val="font11"/>
    <w:basedOn w:val="13"/>
    <w:qFormat/>
    <w:uiPriority w:val="0"/>
    <w:rPr>
      <w:rFonts w:hint="eastAsia" w:ascii="宋体" w:hAnsi="宋体" w:eastAsia="宋体" w:cs="宋体"/>
      <w:color w:val="000000"/>
      <w:sz w:val="22"/>
      <w:szCs w:val="22"/>
      <w:u w:val="none"/>
    </w:rPr>
  </w:style>
  <w:style w:type="paragraph" w:customStyle="1" w:styleId="17">
    <w:name w:val="文字"/>
    <w:basedOn w:val="1"/>
    <w:qFormat/>
    <w:uiPriority w:val="0"/>
    <w:pPr>
      <w:spacing w:line="440" w:lineRule="exact"/>
      <w:ind w:firstLine="480" w:firstLineChars="200"/>
    </w:pPr>
    <w:rPr>
      <w:rFonts w:ascii="Times New Roman" w:hAnsi="Times New Roman"/>
      <w:sz w:val="24"/>
    </w:rPr>
  </w:style>
  <w:style w:type="paragraph" w:customStyle="1" w:styleId="18">
    <w:name w:val="Default"/>
    <w:qFormat/>
    <w:uiPriority w:val="0"/>
    <w:pPr>
      <w:widowControl w:val="0"/>
      <w:autoSpaceDE w:val="0"/>
      <w:autoSpaceDN w:val="0"/>
      <w:adjustRightInd w:val="0"/>
    </w:pPr>
    <w:rPr>
      <w:rFonts w:ascii="宋体" w:hAnsi="Calibri" w:eastAsia="宋体" w:cs="宋体"/>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1831</Words>
  <Characters>1927</Characters>
  <Lines>0</Lines>
  <Paragraphs>0</Paragraphs>
  <TotalTime>1</TotalTime>
  <ScaleCrop>false</ScaleCrop>
  <LinksUpToDate>false</LinksUpToDate>
  <CharactersWithSpaces>2104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Administrator</cp:lastModifiedBy>
  <dcterms:modified xsi:type="dcterms:W3CDTF">2025-12-24T08:14:52Z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14A451484A724BEFA25794CF18667C62_13</vt:lpwstr>
  </property>
  <property fmtid="{D5CDD505-2E9C-101B-9397-08002B2CF9AE}" pid="4" name="KSOTemplateDocerSaveRecord">
    <vt:lpwstr>eyJoZGlkIjoiYTZhMjJkMGVjYmMwYTBkYTY4YmZhOTdkN2ZiYmFkZmEiLCJ1c2VySWQiOiIyNDAxNTkzMjUifQ==</vt:lpwstr>
  </property>
</Properties>
</file>