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ind w:firstLine="318" w:firstLineChars="99"/>
        <w:jc w:val="left"/>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bidi="ar-SA"/>
        </w:rPr>
        <w:t>广州供电局2025-2027年电力管廊与地铁隧道共建工程电磁耦合参数评估技术及控制值研究项目</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top"/>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top"/>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1"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项目立项(可研批复)文号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《广州供电局规划研究中心关于广州供电局</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2025 年依托基建工程技术创新专题可行性</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研究报告评审意见的报告》广供电规划〔</w:t>
            </w:r>
            <w:r>
              <w:rPr>
                <w:rFonts w:hint="default"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2025〕136号</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0"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《广州供电局规划研究中心关于广州供电局</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2025 年依托基建工程技术创新专题可行性</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研究报告评审意见的报告》广供电规划〔</w:t>
            </w:r>
            <w:r>
              <w:rPr>
                <w:rFonts w:hint="default"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2025〕136号</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《广州供电局规划研究中心关于220千伏白鹅潭输变电工程（第一分册）施工图设计及预算评审意见的报告》广供电规划〔</w:t>
            </w:r>
            <w:r>
              <w:rPr>
                <w:rFonts w:hint="default"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2025〕1</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47</w:t>
            </w:r>
            <w:r>
              <w:rPr>
                <w:rFonts w:hint="default"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号</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 荔湾 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5"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合同签订之日起至2027年12月31日，实际服务期以委托函上载明的时间为准。</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default" w:ascii="宋体" w:hAnsi="宋体" w:eastAsia="宋体" w:cs="宋体"/>
                <w:bCs/>
                <w:color w:val="auto"/>
                <w:kern w:val="0"/>
                <w:sz w:val="21"/>
                <w:szCs w:val="21"/>
                <w:highlight w:val="none"/>
                <w:u w:val="none"/>
                <w:lang w:val="en-US" w:eastAsia="zh-CN"/>
              </w:rPr>
            </w:pPr>
          </w:p>
        </w:tc>
      </w:tr>
    </w:tbl>
    <w:p>
      <w:pPr>
        <w:keepNext w:val="0"/>
        <w:keepLines w:val="0"/>
        <w:pageBreakBefore w:val="0"/>
        <w:widowControl w:val="0"/>
        <w:numPr>
          <w:ilvl w:val="0"/>
          <w:numId w:val="0"/>
        </w:numPr>
        <w:kinsoku/>
        <w:wordWrap/>
        <w:overflowPunct/>
        <w:topLinePunct w:val="0"/>
        <w:bidi w:val="0"/>
        <w:snapToGrid/>
        <w:spacing w:before="157" w:beforeLines="50" w:after="157" w:afterLines="50" w:line="480" w:lineRule="auto"/>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本项目围绕轨道交通与电力廊道共建所面临的电磁耦合参数评估与控制值缺失问题，开展如下方面研究：分析潜在电磁骚扰源（如高压电缆工频场、暂态冲击、地铁启动大电流等）特性及其对管廊内典型设备和人员的影响；研究多源电磁骚扰的耦合机理与传播路径，揭示其对跨系统设备的潜在威胁机制；构建涵盖直流、低频、工频、谐波等多时空特征的电磁骚扰参数评估体系；调研设备抗电磁干扰能力并结合共建工程实际，确定设备和人员的电磁骚扰控制值。核心技术包括多源电磁耦合机理分析、跨系统协同防护的多维度表征体系构建。预期目标为提出共建工程复杂电磁环境对设备和人员的评估方法，解决现阶段缺乏共建工程电磁影响评估方法和难以界定安全阈值的问题。探明共建工程复杂多源电磁骚扰的耦合机理与传播路径，揭示其对地铁信号设备和供电系统、电缆及其监控系统的潜在威胁机制，为跨系统电磁防护设计提供依据。提出适应共建工程需求的电磁骚扰表征参数体系，获得各类表征参数的控制值，填补电力与地铁在共建场景下的控制值空白，形成统一的设计规范和运维依据，保障设备抗扰度与人员安全。为随轨道交通共建电力廊道提供关键技术支撑。</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执行《南方电网公司基建工程设计管理控制文件》及广州供电局有限公司相关文件要求，满足国家、南方电网公司的质量标准、控制标准和验收规范，在质量管理过程中达到或超过质量标准。</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1、设备和人员面临的电磁影响分析研究：分析潜在的骚扰源及其特性，确认可能面临电磁影响的典型设备和对人身安全造成威胁的工况；</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 xml:space="preserve">2、各类电磁骚扰的机理和干扰途径研究：研究复杂多源电磁骚扰对地铁信号系统和供电系统、电缆及其监控系统和人身安全影响的作用机理和干扰路径； </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 xml:space="preserve">3、各类电磁骚扰的表征参数研究：针对共建工程中的复杂电磁特性，建立涵盖直流、低频、工频、谐波、暂态、空间、地中、设备和人员的多时空特征电磁骚扰参数评估体系。 </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4、设备和人员的耐受能力调研，以及相应表征参数控制值的确定：调研各类设备电磁抗扰度的国内外规范，结合共建工程实际情况，确定各类设备及人员的电磁骚扰参数控制值，为共建工程电磁安全提供支撑。</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5、提出共建工程复杂电磁环境对设备和人员的评估方法，明确电磁干扰的安全边界，解决现阶段缺乏共建工程电磁影响评估方法和难以界定安全阈值的问题。</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6、探明共建工程复杂多源电磁骚扰（工频电磁场、暂态冲击电流、地电位不平衡等）的耦合机理与传播路径，揭示其对地铁信号设备和供电系统、电缆及其监控系统的潜在威胁机制，为跨系统电磁防护设计提供依据。</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7、提出适应共建工程需求的电磁骚扰表征参数体系，满足跨系统协同防护需求。</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8、获得共建工程设备和人员的耐受能力，明确各类表征参数的控制值，填补电力与地铁在共建场景下的控制值空白，形成统一的设计规范和运维依据，保障设备抗扰度与人员安全。</w:t>
      </w:r>
    </w:p>
    <w:p>
      <w:pPr>
        <w:pStyle w:val="2"/>
        <w:rPr>
          <w:rFonts w:hint="eastAsia"/>
          <w:b w:val="0"/>
          <w:bCs w:val="0"/>
          <w:lang w:val="en-US" w:eastAsia="zh-CN"/>
        </w:rPr>
      </w:pPr>
    </w:p>
    <w:p>
      <w:pPr>
        <w:pStyle w:val="4"/>
        <w:keepNext w:val="0"/>
        <w:keepLines w:val="0"/>
        <w:pageBreakBefore w:val="0"/>
        <w:numPr>
          <w:ilvl w:val="0"/>
          <w:numId w:val="2"/>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报价表及报价要求</w:t>
      </w:r>
    </w:p>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lang w:val="en-US" w:eastAsia="zh-CN"/>
        </w:rPr>
      </w:pPr>
    </w:p>
    <w:tbl>
      <w:tblPr>
        <w:tblStyle w:val="11"/>
        <w:tblpPr w:leftFromText="180" w:rightFromText="180" w:vertAnchor="text" w:horzAnchor="page" w:tblpX="1352" w:tblpY="66"/>
        <w:tblOverlap w:val="never"/>
        <w:tblW w:w="92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651"/>
        <w:gridCol w:w="2232"/>
        <w:gridCol w:w="825"/>
        <w:gridCol w:w="936"/>
        <w:gridCol w:w="826"/>
        <w:gridCol w:w="694"/>
        <w:gridCol w:w="1024"/>
        <w:gridCol w:w="1049"/>
        <w:gridCol w:w="10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43" w:hRule="atLeast"/>
        </w:trPr>
        <w:tc>
          <w:tcPr>
            <w:tcW w:w="651" w:type="dxa"/>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序号</w:t>
            </w:r>
          </w:p>
        </w:tc>
        <w:tc>
          <w:tcPr>
            <w:tcW w:w="2232" w:type="dxa"/>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工程或费用名称</w:t>
            </w:r>
          </w:p>
        </w:tc>
        <w:tc>
          <w:tcPr>
            <w:tcW w:w="825" w:type="dxa"/>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预计</w:t>
            </w:r>
          </w:p>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数量</w:t>
            </w:r>
          </w:p>
        </w:tc>
        <w:tc>
          <w:tcPr>
            <w:tcW w:w="1762" w:type="dxa"/>
            <w:gridSpan w:val="2"/>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最高投标限价</w:t>
            </w:r>
          </w:p>
        </w:tc>
        <w:tc>
          <w:tcPr>
            <w:tcW w:w="694"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投标下浮率</w:t>
            </w:r>
          </w:p>
        </w:tc>
        <w:tc>
          <w:tcPr>
            <w:tcW w:w="2073" w:type="dxa"/>
            <w:gridSpan w:val="2"/>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投标报价</w:t>
            </w:r>
          </w:p>
        </w:tc>
        <w:tc>
          <w:tcPr>
            <w:tcW w:w="1056" w:type="dxa"/>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  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4" w:hRule="atLeast"/>
        </w:trPr>
        <w:tc>
          <w:tcPr>
            <w:tcW w:w="651" w:type="dxa"/>
            <w:vMerge w:val="continue"/>
            <w:tcBorders>
              <w:tl2br w:val="nil"/>
              <w:tr2bl w:val="nil"/>
            </w:tcBorders>
            <w:shd w:val="clear" w:color="auto" w:fill="auto"/>
            <w:noWrap/>
            <w:vAlign w:val="center"/>
          </w:tcPr>
          <w:p>
            <w:pPr>
              <w:keepNext w:val="0"/>
              <w:keepLines w:val="0"/>
              <w:widowControl/>
              <w:suppressLineNumbers w:val="0"/>
              <w:jc w:val="center"/>
              <w:textAlignment w:val="center"/>
              <w:rPr>
                <w:highlight w:val="none"/>
              </w:rPr>
            </w:pPr>
          </w:p>
        </w:tc>
        <w:tc>
          <w:tcPr>
            <w:tcW w:w="2232" w:type="dxa"/>
            <w:vMerge w:val="continue"/>
            <w:tcBorders>
              <w:tl2br w:val="nil"/>
              <w:tr2bl w:val="nil"/>
            </w:tcBorders>
            <w:shd w:val="clear" w:color="auto" w:fill="auto"/>
            <w:noWrap/>
            <w:vAlign w:val="center"/>
          </w:tcPr>
          <w:p>
            <w:pPr>
              <w:keepNext w:val="0"/>
              <w:keepLines w:val="0"/>
              <w:widowControl/>
              <w:suppressLineNumbers w:val="0"/>
              <w:jc w:val="center"/>
              <w:textAlignment w:val="center"/>
              <w:rPr>
                <w:highlight w:val="none"/>
              </w:rPr>
            </w:pPr>
          </w:p>
        </w:tc>
        <w:tc>
          <w:tcPr>
            <w:tcW w:w="825" w:type="dxa"/>
            <w:vMerge w:val="continue"/>
            <w:tcBorders>
              <w:tl2br w:val="nil"/>
              <w:tr2bl w:val="nil"/>
            </w:tcBorders>
            <w:shd w:val="clear" w:color="auto" w:fill="auto"/>
            <w:noWrap/>
            <w:vAlign w:val="center"/>
          </w:tcPr>
          <w:p>
            <w:pPr>
              <w:keepNext w:val="0"/>
              <w:keepLines w:val="0"/>
              <w:widowControl/>
              <w:suppressLineNumbers w:val="0"/>
              <w:jc w:val="center"/>
              <w:textAlignment w:val="center"/>
              <w:rPr>
                <w:highlight w:val="none"/>
              </w:rPr>
            </w:pPr>
          </w:p>
        </w:tc>
        <w:tc>
          <w:tcPr>
            <w:tcW w:w="93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单价</w:t>
            </w:r>
            <w:r>
              <w:rPr>
                <w:rFonts w:hint="eastAsia" w:ascii="宋体" w:hAnsi="宋体" w:eastAsia="宋体" w:cs="宋体"/>
                <w:i w:val="0"/>
                <w:iCs w:val="0"/>
                <w:color w:val="000000"/>
                <w:kern w:val="0"/>
                <w:sz w:val="20"/>
                <w:szCs w:val="20"/>
                <w:highlight w:val="none"/>
                <w:u w:val="none"/>
                <w:lang w:val="en-US" w:eastAsia="zh-CN" w:bidi="ar"/>
              </w:rPr>
              <w:t>（元）</w:t>
            </w:r>
          </w:p>
        </w:tc>
        <w:tc>
          <w:tcPr>
            <w:tcW w:w="82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合计</w:t>
            </w:r>
            <w:r>
              <w:rPr>
                <w:rFonts w:hint="eastAsia" w:ascii="宋体" w:hAnsi="宋体" w:eastAsia="宋体" w:cs="宋体"/>
                <w:i w:val="0"/>
                <w:iCs w:val="0"/>
                <w:color w:val="000000"/>
                <w:kern w:val="0"/>
                <w:sz w:val="20"/>
                <w:szCs w:val="20"/>
                <w:highlight w:val="none"/>
                <w:u w:val="none"/>
                <w:lang w:val="en-US" w:eastAsia="zh-CN" w:bidi="ar"/>
              </w:rPr>
              <w:t>（元）</w:t>
            </w:r>
          </w:p>
        </w:tc>
        <w:tc>
          <w:tcPr>
            <w:tcW w:w="694" w:type="dxa"/>
            <w:vMerge w:val="continue"/>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单价</w:t>
            </w:r>
            <w:r>
              <w:rPr>
                <w:rFonts w:hint="eastAsia" w:ascii="宋体" w:hAnsi="宋体" w:eastAsia="宋体" w:cs="宋体"/>
                <w:i w:val="0"/>
                <w:iCs w:val="0"/>
                <w:color w:val="000000"/>
                <w:kern w:val="0"/>
                <w:sz w:val="20"/>
                <w:szCs w:val="20"/>
                <w:highlight w:val="none"/>
                <w:u w:val="none"/>
                <w:lang w:val="en-US" w:eastAsia="zh-CN" w:bidi="ar"/>
              </w:rPr>
              <w:t>（元）</w:t>
            </w:r>
          </w:p>
        </w:tc>
        <w:tc>
          <w:tcPr>
            <w:tcW w:w="1049"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合计</w:t>
            </w:r>
            <w:r>
              <w:rPr>
                <w:rFonts w:hint="eastAsia" w:ascii="宋体" w:hAnsi="宋体" w:eastAsia="宋体" w:cs="宋体"/>
                <w:i w:val="0"/>
                <w:iCs w:val="0"/>
                <w:color w:val="000000"/>
                <w:kern w:val="0"/>
                <w:sz w:val="20"/>
                <w:szCs w:val="20"/>
                <w:highlight w:val="none"/>
                <w:u w:val="none"/>
                <w:lang w:val="en-US" w:eastAsia="zh-CN" w:bidi="ar"/>
              </w:rPr>
              <w:t>（元）</w:t>
            </w:r>
          </w:p>
        </w:tc>
        <w:tc>
          <w:tcPr>
            <w:tcW w:w="1056" w:type="dxa"/>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00" w:hRule="atLeast"/>
        </w:trPr>
        <w:tc>
          <w:tcPr>
            <w:tcW w:w="651" w:type="dxa"/>
            <w:tcBorders>
              <w:tl2br w:val="nil"/>
              <w:tr2bl w:val="nil"/>
            </w:tcBorders>
            <w:shd w:val="clear" w:color="auto" w:fill="auto"/>
            <w:noWrap/>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2232" w:type="dxa"/>
            <w:tcBorders>
              <w:tl2br w:val="nil"/>
              <w:tr2bl w:val="nil"/>
            </w:tcBorders>
            <w:shd w:val="clear" w:color="auto" w:fill="auto"/>
            <w:noWrap/>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电力管廊与地铁隧道共建工程电磁耦合参数评估技术及控制值研究</w:t>
            </w:r>
          </w:p>
        </w:tc>
        <w:tc>
          <w:tcPr>
            <w:tcW w:w="825" w:type="dxa"/>
            <w:tcBorders>
              <w:tl2br w:val="nil"/>
              <w:tr2bl w:val="nil"/>
            </w:tcBorders>
            <w:shd w:val="clear" w:color="auto" w:fill="auto"/>
            <w:noWrap/>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936" w:type="dxa"/>
            <w:tcBorders>
              <w:tl2br w:val="nil"/>
              <w:tr2bl w:val="nil"/>
            </w:tcBorders>
            <w:shd w:val="clear" w:color="auto" w:fill="auto"/>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2612000</w:t>
            </w:r>
          </w:p>
        </w:tc>
        <w:tc>
          <w:tcPr>
            <w:tcW w:w="826" w:type="dxa"/>
            <w:tcBorders>
              <w:tl2br w:val="nil"/>
              <w:tr2bl w:val="nil"/>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2612000</w:t>
            </w:r>
          </w:p>
        </w:tc>
        <w:tc>
          <w:tcPr>
            <w:tcW w:w="694" w:type="dxa"/>
            <w:tcBorders>
              <w:tl2br w:val="nil"/>
              <w:tr2bl w:val="nil"/>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singl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w:t>
            </w:r>
          </w:p>
        </w:tc>
        <w:tc>
          <w:tcPr>
            <w:tcW w:w="1024" w:type="dxa"/>
            <w:tcBorders>
              <w:tl2br w:val="nil"/>
              <w:tr2bl w:val="nil"/>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9" w:type="dxa"/>
            <w:tcBorders>
              <w:tl2br w:val="nil"/>
              <w:tr2bl w:val="nil"/>
            </w:tcBorders>
            <w:shd w:val="clear" w:color="auto" w:fill="auto"/>
            <w:noWrap/>
            <w:vAlign w:val="center"/>
          </w:tcPr>
          <w:p>
            <w:pPr>
              <w:jc w:val="center"/>
              <w:rPr>
                <w:rFonts w:hint="eastAsia" w:ascii="宋体" w:hAnsi="宋体" w:eastAsia="宋体" w:cs="宋体"/>
                <w:i w:val="0"/>
                <w:iCs w:val="0"/>
                <w:color w:val="000000"/>
                <w:sz w:val="20"/>
                <w:szCs w:val="20"/>
                <w:highlight w:val="none"/>
                <w:u w:val="none"/>
              </w:rPr>
            </w:pPr>
          </w:p>
        </w:tc>
        <w:tc>
          <w:tcPr>
            <w:tcW w:w="1056" w:type="dxa"/>
            <w:tcBorders>
              <w:tl2br w:val="nil"/>
              <w:tr2bl w:val="nil"/>
            </w:tcBorders>
            <w:shd w:val="clear" w:color="auto" w:fill="auto"/>
            <w:noWrap/>
            <w:vAlign w:val="center"/>
          </w:tcPr>
          <w:p>
            <w:pPr>
              <w:jc w:val="center"/>
              <w:rPr>
                <w:rFonts w:hint="eastAsia" w:ascii="宋体" w:hAnsi="宋体" w:eastAsia="宋体" w:cs="宋体"/>
                <w:i w:val="0"/>
                <w:iCs w:val="0"/>
                <w:color w:val="000000"/>
                <w:sz w:val="20"/>
                <w:szCs w:val="20"/>
                <w:highlight w:val="none"/>
                <w:u w:val="none"/>
              </w:rPr>
            </w:pPr>
          </w:p>
        </w:tc>
      </w:tr>
    </w:tbl>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p>
      <w:pPr>
        <w:pStyle w:val="7"/>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9"/>
        <w:keepNext w:val="0"/>
        <w:keepLines w:val="0"/>
        <w:pageBreakBefore w:val="0"/>
        <w:widowControl/>
        <w:numPr>
          <w:ilvl w:val="0"/>
          <w:numId w:val="3"/>
        </w:numPr>
        <w:shd w:val="clear" w:color="auto" w:fill="auto"/>
        <w:kinsoku/>
        <w:wordWrap/>
        <w:overflowPunct/>
        <w:topLinePunct w:val="0"/>
        <w:autoSpaceDE/>
        <w:autoSpaceDN/>
        <w:bidi w:val="0"/>
        <w:adjustRightInd/>
        <w:snapToGrid/>
        <w:spacing w:before="0" w:after="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按下浮率报价（保留两位小数，如8.88%），同时填报投标报价（投标报价=最高投标限价*（1-投标下浮率），四舍五入保留两位小数）。当投标报价与投标下浮率计算结果不一致时，以投标下浮率为准，按上述公式修订投标报价，如单项报价与投标下浮率不对应的也需按投标下浮率修正单项报价。</w:t>
      </w:r>
    </w:p>
    <w:p>
      <w:pPr>
        <w:pStyle w:val="9"/>
        <w:keepNext w:val="0"/>
        <w:keepLines w:val="0"/>
        <w:pageBreakBefore w:val="0"/>
        <w:widowControl/>
        <w:numPr>
          <w:ilvl w:val="0"/>
          <w:numId w:val="3"/>
        </w:numPr>
        <w:shd w:val="clear" w:color="auto" w:fill="auto"/>
        <w:kinsoku/>
        <w:wordWrap/>
        <w:overflowPunct/>
        <w:topLinePunct w:val="0"/>
        <w:autoSpaceDE/>
        <w:autoSpaceDN/>
        <w:bidi w:val="0"/>
        <w:adjustRightInd/>
        <w:snapToGrid/>
        <w:spacing w:before="0" w:after="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投标下浮率不低于0%为有效报价；当投标下浮率＞15%时应附成本分析报告，充分说明单价和费用的组成、降低成本的合理措施及在其他工程中应用过的经验等，经评审通过后方可视为有效报价。</w:t>
      </w:r>
    </w:p>
    <w:p>
      <w:pPr>
        <w:pStyle w:val="9"/>
        <w:keepNext w:val="0"/>
        <w:keepLines w:val="0"/>
        <w:pageBreakBefore w:val="0"/>
        <w:widowControl/>
        <w:numPr>
          <w:ilvl w:val="0"/>
          <w:numId w:val="3"/>
        </w:numPr>
        <w:shd w:val="clear" w:color="auto" w:fill="auto"/>
        <w:kinsoku/>
        <w:wordWrap/>
        <w:overflowPunct/>
        <w:topLinePunct w:val="0"/>
        <w:autoSpaceDE/>
        <w:autoSpaceDN/>
        <w:bidi w:val="0"/>
        <w:adjustRightInd/>
        <w:snapToGrid/>
        <w:spacing w:before="0" w:after="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价格分计算时，投标人评标价按（100-投标人填写的下浮数值）参与计算。如：下浮率为1.88％时，评标价按（100-1.88）参与计算。</w:t>
      </w:r>
    </w:p>
    <w:p>
      <w:pPr>
        <w:numPr>
          <w:ilvl w:val="0"/>
          <w:numId w:val="0"/>
        </w:numPr>
        <w:ind w:left="240" w:leftChars="0"/>
        <w:rPr>
          <w:rFonts w:hint="default"/>
          <w:highlight w:val="none"/>
          <w:lang w:val="en-US" w:eastAsia="zh-CN"/>
        </w:rPr>
      </w:pPr>
    </w:p>
    <w:p>
      <w:pPr>
        <w:rPr>
          <w:rFonts w:hint="eastAsia"/>
          <w:highlight w:val="none"/>
          <w:lang w:val="en-US" w:eastAsia="zh-CN"/>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pStyle w:val="2"/>
        <w:numPr>
          <w:ilvl w:val="0"/>
          <w:numId w:val="0"/>
        </w:numPr>
        <w:adjustRightInd w:val="0"/>
        <w:snapToGrid w:val="0"/>
        <w:spacing w:line="560" w:lineRule="exact"/>
        <w:ind w:leftChars="0" w:firstLine="480" w:firstLineChars="200"/>
        <w:rPr>
          <w:rFonts w:hint="eastAsia" w:asciiTheme="minorEastAsia" w:hAnsiTheme="minorEastAsia" w:eastAsiaTheme="minorEastAsia" w:cstheme="minorEastAsia"/>
          <w:color w:val="000000"/>
          <w:kern w:val="2"/>
          <w:sz w:val="24"/>
          <w:szCs w:val="24"/>
          <w:u w:val="single"/>
          <w:lang w:val="en-US" w:eastAsia="zh-CN" w:bidi="ar-SA"/>
        </w:rPr>
      </w:pPr>
      <w:r>
        <w:rPr>
          <w:rFonts w:hint="eastAsia" w:asciiTheme="minorEastAsia" w:hAnsiTheme="minorEastAsia" w:eastAsiaTheme="minorEastAsia" w:cstheme="minorEastAsia"/>
          <w:b w:val="0"/>
          <w:color w:val="000000"/>
          <w:kern w:val="2"/>
          <w:sz w:val="24"/>
          <w:szCs w:val="24"/>
          <w:u w:val="single"/>
          <w:lang w:val="en-US" w:eastAsia="zh-CN" w:bidi="ar-SA"/>
        </w:rPr>
        <w:t>相应阶段结算价=最高投标限价 ×（1-中标下浮率）。</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w:t>
      </w: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pPr>
        <w:rPr>
          <w:rFonts w:hint="eastAsia" w:ascii="宋体" w:hAnsi="宋体" w:eastAsia="宋体" w:cs="宋体"/>
          <w:color w:val="auto"/>
          <w:kern w:val="2"/>
          <w:sz w:val="24"/>
          <w:szCs w:val="24"/>
          <w:highlight w:val="none"/>
          <w:u w:val="single"/>
          <w:lang w:val="en-US" w:eastAsia="zh-CN" w:bidi="ar-SA"/>
        </w:rPr>
      </w:pPr>
    </w:p>
    <w:p>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highlight w:val="none"/>
          <w:lang w:val="en-US" w:eastAsia="zh-CN"/>
        </w:rPr>
        <w:br w:type="page"/>
      </w:r>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pPr>
        <w:pStyle w:val="2"/>
        <w:rPr>
          <w:rFonts w:hint="eastAsia" w:asciiTheme="minorEastAsia" w:hAnsiTheme="minorEastAsia" w:eastAsiaTheme="minorEastAsia" w:cstheme="minorEastAsia"/>
          <w:i w:val="0"/>
          <w:iCs/>
          <w:color w:val="auto"/>
          <w:sz w:val="24"/>
          <w:szCs w:val="24"/>
          <w:highlight w:val="none"/>
        </w:rPr>
      </w:pP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pPr>
        <w:rPr>
          <w:rFonts w:hint="eastAsia" w:ascii="宋体" w:hAnsi="宋体" w:eastAsia="宋体" w:cs="宋体"/>
          <w:color w:val="auto"/>
          <w:sz w:val="24"/>
          <w:szCs w:val="24"/>
          <w:highlight w:val="none"/>
          <w:u w:val="single"/>
          <w:vertAlign w:val="baseline"/>
          <w:lang w:val="en-US" w:eastAsia="zh-CN"/>
        </w:rPr>
      </w:pPr>
      <w:bookmarkStart w:id="1" w:name="_GoBack"/>
      <w:bookmarkEnd w:id="1"/>
    </w:p>
    <w:p>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6993E1"/>
    <w:multiLevelType w:val="singleLevel"/>
    <w:tmpl w:val="EA6993E1"/>
    <w:lvl w:ilvl="0" w:tentative="0">
      <w:start w:val="3"/>
      <w:numFmt w:val="chineseCounting"/>
      <w:suff w:val="nothing"/>
      <w:lvlText w:val="%1、"/>
      <w:lvlJc w:val="left"/>
      <w:rPr>
        <w:rFonts w:hint="eastAsia"/>
      </w:rPr>
    </w:lvl>
  </w:abstractNum>
  <w:abstractNum w:abstractNumId="1">
    <w:nsid w:val="EAEE20F8"/>
    <w:multiLevelType w:val="singleLevel"/>
    <w:tmpl w:val="EAEE20F8"/>
    <w:lvl w:ilvl="0" w:tentative="0">
      <w:start w:val="2"/>
      <w:numFmt w:val="chineseCounting"/>
      <w:suff w:val="nothing"/>
      <w:lvlText w:val="第%1部分."/>
      <w:lvlJc w:val="left"/>
      <w:rPr>
        <w:rFonts w:hint="eastAsia"/>
      </w:rPr>
    </w:lvl>
  </w:abstractNum>
  <w:abstractNum w:abstractNumId="2">
    <w:nsid w:val="0D7920FF"/>
    <w:multiLevelType w:val="singleLevel"/>
    <w:tmpl w:val="0D7920FF"/>
    <w:lvl w:ilvl="0" w:tentative="0">
      <w:start w:val="1"/>
      <w:numFmt w:val="chineseCounting"/>
      <w:suff w:val="nothing"/>
      <w:lvlText w:val="第%1部分."/>
      <w:lvlJc w:val="left"/>
      <w:rPr>
        <w:rFonts w:hint="eastAsia"/>
      </w:rPr>
    </w:lvl>
  </w:abstractNum>
  <w:abstractNum w:abstractNumId="3">
    <w:nsid w:val="12846F37"/>
    <w:multiLevelType w:val="singleLevel"/>
    <w:tmpl w:val="12846F37"/>
    <w:lvl w:ilvl="0" w:tentative="0">
      <w:start w:val="1"/>
      <w:numFmt w:val="decimal"/>
      <w:lvlText w:val="%1."/>
      <w:lvlJc w:val="left"/>
      <w:pPr>
        <w:tabs>
          <w:tab w:val="left" w:pos="312"/>
        </w:tabs>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4A24F71"/>
    <w:rsid w:val="076F3B3B"/>
    <w:rsid w:val="07CA37DF"/>
    <w:rsid w:val="0B4A6210"/>
    <w:rsid w:val="0BC07002"/>
    <w:rsid w:val="0CDB1109"/>
    <w:rsid w:val="0E2F4C02"/>
    <w:rsid w:val="0E3616E0"/>
    <w:rsid w:val="0E394169"/>
    <w:rsid w:val="0F81532F"/>
    <w:rsid w:val="107144D2"/>
    <w:rsid w:val="11005A5A"/>
    <w:rsid w:val="116419AD"/>
    <w:rsid w:val="11DF6CFE"/>
    <w:rsid w:val="12A5526C"/>
    <w:rsid w:val="13383335"/>
    <w:rsid w:val="14440D4B"/>
    <w:rsid w:val="14781EB9"/>
    <w:rsid w:val="14B666F3"/>
    <w:rsid w:val="15056A61"/>
    <w:rsid w:val="16B44DAC"/>
    <w:rsid w:val="17722603"/>
    <w:rsid w:val="18E57496"/>
    <w:rsid w:val="1A386933"/>
    <w:rsid w:val="1A4F176B"/>
    <w:rsid w:val="1B663F82"/>
    <w:rsid w:val="1C2D4629"/>
    <w:rsid w:val="1C43636C"/>
    <w:rsid w:val="1C8618B6"/>
    <w:rsid w:val="1D904223"/>
    <w:rsid w:val="1F653C49"/>
    <w:rsid w:val="1FF914D4"/>
    <w:rsid w:val="20735046"/>
    <w:rsid w:val="216F4D5B"/>
    <w:rsid w:val="21C11DC8"/>
    <w:rsid w:val="23B738BA"/>
    <w:rsid w:val="24E67795"/>
    <w:rsid w:val="24F737D8"/>
    <w:rsid w:val="2525523D"/>
    <w:rsid w:val="25990992"/>
    <w:rsid w:val="26EB3B6A"/>
    <w:rsid w:val="28C43A7C"/>
    <w:rsid w:val="291D5E51"/>
    <w:rsid w:val="29F12D11"/>
    <w:rsid w:val="2BD016D4"/>
    <w:rsid w:val="2BE07E0A"/>
    <w:rsid w:val="2CA17C08"/>
    <w:rsid w:val="2DDF66E3"/>
    <w:rsid w:val="2E855960"/>
    <w:rsid w:val="2EA707F3"/>
    <w:rsid w:val="2FF65FF8"/>
    <w:rsid w:val="300D195C"/>
    <w:rsid w:val="30BF37B5"/>
    <w:rsid w:val="313B0851"/>
    <w:rsid w:val="31A1649A"/>
    <w:rsid w:val="31C955A9"/>
    <w:rsid w:val="33B200AF"/>
    <w:rsid w:val="33C75702"/>
    <w:rsid w:val="33E61BE2"/>
    <w:rsid w:val="346F7E7A"/>
    <w:rsid w:val="361736AD"/>
    <w:rsid w:val="36D200CF"/>
    <w:rsid w:val="379951F8"/>
    <w:rsid w:val="38382DC3"/>
    <w:rsid w:val="38DE045C"/>
    <w:rsid w:val="3987396D"/>
    <w:rsid w:val="3A692003"/>
    <w:rsid w:val="3B595AEE"/>
    <w:rsid w:val="3BF24D81"/>
    <w:rsid w:val="3BFE7BEA"/>
    <w:rsid w:val="3C4750A3"/>
    <w:rsid w:val="3C4A35F1"/>
    <w:rsid w:val="420455E6"/>
    <w:rsid w:val="42E73C50"/>
    <w:rsid w:val="44982260"/>
    <w:rsid w:val="44D414C9"/>
    <w:rsid w:val="46472D5E"/>
    <w:rsid w:val="485D3F87"/>
    <w:rsid w:val="496A657E"/>
    <w:rsid w:val="49843C09"/>
    <w:rsid w:val="4B3A1BDA"/>
    <w:rsid w:val="4BF83760"/>
    <w:rsid w:val="4C5B4768"/>
    <w:rsid w:val="4C8349B8"/>
    <w:rsid w:val="504766FD"/>
    <w:rsid w:val="54471B54"/>
    <w:rsid w:val="552A0C96"/>
    <w:rsid w:val="55641C53"/>
    <w:rsid w:val="55BB16B6"/>
    <w:rsid w:val="55C3156A"/>
    <w:rsid w:val="560A4CB8"/>
    <w:rsid w:val="578178F5"/>
    <w:rsid w:val="5782183A"/>
    <w:rsid w:val="57BD355E"/>
    <w:rsid w:val="585A2248"/>
    <w:rsid w:val="58D21C48"/>
    <w:rsid w:val="5B0320E2"/>
    <w:rsid w:val="5B8B11A7"/>
    <w:rsid w:val="5B9E2EC4"/>
    <w:rsid w:val="5CD10D7E"/>
    <w:rsid w:val="60002310"/>
    <w:rsid w:val="608606DE"/>
    <w:rsid w:val="610E324A"/>
    <w:rsid w:val="61F31EFD"/>
    <w:rsid w:val="63066BC7"/>
    <w:rsid w:val="63D0487B"/>
    <w:rsid w:val="64672037"/>
    <w:rsid w:val="64911DA0"/>
    <w:rsid w:val="65945D8D"/>
    <w:rsid w:val="661A56F4"/>
    <w:rsid w:val="66C35559"/>
    <w:rsid w:val="67D57489"/>
    <w:rsid w:val="68570F93"/>
    <w:rsid w:val="6A287B5E"/>
    <w:rsid w:val="6B303A1A"/>
    <w:rsid w:val="6C704794"/>
    <w:rsid w:val="6DAA2FDF"/>
    <w:rsid w:val="6DF95579"/>
    <w:rsid w:val="6E121228"/>
    <w:rsid w:val="6F8447F5"/>
    <w:rsid w:val="70D1495F"/>
    <w:rsid w:val="70ED510D"/>
    <w:rsid w:val="712F63C0"/>
    <w:rsid w:val="72717CD1"/>
    <w:rsid w:val="743E1546"/>
    <w:rsid w:val="74614F7E"/>
    <w:rsid w:val="74695E39"/>
    <w:rsid w:val="754C6F3B"/>
    <w:rsid w:val="75B11AFF"/>
    <w:rsid w:val="75D32619"/>
    <w:rsid w:val="76307412"/>
    <w:rsid w:val="768D126A"/>
    <w:rsid w:val="780B6A75"/>
    <w:rsid w:val="79F83E18"/>
    <w:rsid w:val="7CED7DC5"/>
    <w:rsid w:val="7D0F76D8"/>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1"/>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Body Text Indent"/>
    <w:basedOn w:val="1"/>
    <w:qFormat/>
    <w:uiPriority w:val="0"/>
    <w:pPr>
      <w:spacing w:after="120"/>
      <w:ind w:left="420" w:leftChars="200"/>
    </w:p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 w:type="paragraph" w:customStyle="1" w:styleId="17">
    <w:name w:val="文字"/>
    <w:basedOn w:val="1"/>
    <w:qFormat/>
    <w:uiPriority w:val="0"/>
    <w:pPr>
      <w:spacing w:line="440" w:lineRule="exact"/>
      <w:ind w:firstLine="480" w:firstLineChars="200"/>
    </w:pPr>
    <w:rPr>
      <w:rFonts w:ascii="Times New Roman" w:hAnsi="Times New Roman"/>
      <w:sz w:val="24"/>
    </w:rPr>
  </w:style>
  <w:style w:type="paragraph" w:customStyle="1" w:styleId="18">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2205</Words>
  <Characters>2300</Characters>
  <Lines>0</Lines>
  <Paragraphs>0</Paragraphs>
  <TotalTime>1</TotalTime>
  <ScaleCrop>false</ScaleCrop>
  <LinksUpToDate>false</LinksUpToDate>
  <CharactersWithSpaces>2478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Administrator</cp:lastModifiedBy>
  <dcterms:modified xsi:type="dcterms:W3CDTF">2025-12-24T08:12:52Z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D5C373D01775448B8BBC2710ACE53E0E</vt:lpwstr>
  </property>
  <property fmtid="{D5CDD505-2E9C-101B-9397-08002B2CF9AE}" pid="4" name="KSOTemplateDocerSaveRecord">
    <vt:lpwstr>eyJoZGlkIjoiYTZhMjJkMGVjYmMwYTBkYTY4YmZhOTdkN2ZiYmFkZmEiLCJ1c2VySWQiOiIyNDAxNTkzMjUifQ==</vt:lpwstr>
  </property>
</Properties>
</file>